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DB0" w:rsidRPr="00B9725E" w:rsidRDefault="008A6DB0" w:rsidP="0028682F">
      <w:pPr>
        <w:pStyle w:val="normalpara"/>
        <w:spacing w:before="120" w:beforeAutospacing="0" w:after="0" w:afterAutospacing="0" w:line="340" w:lineRule="exact"/>
        <w:jc w:val="center"/>
        <w:rPr>
          <w:b/>
          <w:sz w:val="28"/>
          <w:szCs w:val="28"/>
        </w:rPr>
      </w:pPr>
      <w:r w:rsidRPr="00B9725E">
        <w:rPr>
          <w:b/>
          <w:sz w:val="28"/>
          <w:szCs w:val="28"/>
        </w:rPr>
        <w:t xml:space="preserve">Một số chính </w:t>
      </w:r>
      <w:r w:rsidR="000E25CF" w:rsidRPr="00B9725E">
        <w:rPr>
          <w:b/>
          <w:sz w:val="28"/>
          <w:szCs w:val="28"/>
        </w:rPr>
        <w:t xml:space="preserve">sách </w:t>
      </w:r>
      <w:r w:rsidR="001F7D70" w:rsidRPr="00B9725E">
        <w:rPr>
          <w:b/>
          <w:sz w:val="28"/>
          <w:szCs w:val="28"/>
        </w:rPr>
        <w:t xml:space="preserve">nổi bật </w:t>
      </w:r>
      <w:r w:rsidR="000E25CF" w:rsidRPr="00B9725E">
        <w:rPr>
          <w:b/>
          <w:sz w:val="28"/>
          <w:szCs w:val="28"/>
        </w:rPr>
        <w:t>có hiệu lực từ tháng 5</w:t>
      </w:r>
      <w:r w:rsidR="001F7D70" w:rsidRPr="00B9725E">
        <w:rPr>
          <w:b/>
          <w:sz w:val="28"/>
          <w:szCs w:val="28"/>
        </w:rPr>
        <w:t xml:space="preserve"> năm </w:t>
      </w:r>
      <w:r w:rsidR="000E25CF" w:rsidRPr="00B9725E">
        <w:rPr>
          <w:b/>
          <w:sz w:val="28"/>
          <w:szCs w:val="28"/>
        </w:rPr>
        <w:t>2024</w:t>
      </w:r>
    </w:p>
    <w:p w:rsidR="001F7D70" w:rsidRPr="00B9725E" w:rsidRDefault="001F7D70" w:rsidP="00FB2E36">
      <w:pPr>
        <w:pStyle w:val="NormalWeb"/>
        <w:shd w:val="clear" w:color="auto" w:fill="FFFFFF"/>
        <w:spacing w:before="120" w:beforeAutospacing="0" w:after="0" w:afterAutospacing="0" w:line="340" w:lineRule="exact"/>
        <w:ind w:firstLine="720"/>
        <w:jc w:val="both"/>
        <w:rPr>
          <w:rStyle w:val="Strong"/>
          <w:sz w:val="28"/>
          <w:szCs w:val="28"/>
        </w:rPr>
      </w:pPr>
      <w:r w:rsidRPr="00B9725E">
        <w:rPr>
          <w:rStyle w:val="Strong"/>
          <w:sz w:val="28"/>
          <w:szCs w:val="28"/>
        </w:rPr>
        <w:t xml:space="preserve">Trong tháng 4.2024, có </w:t>
      </w:r>
      <w:r w:rsidR="00FB2E36" w:rsidRPr="00B9725E">
        <w:rPr>
          <w:rStyle w:val="Strong"/>
          <w:sz w:val="28"/>
          <w:szCs w:val="28"/>
        </w:rPr>
        <w:t xml:space="preserve">09 </w:t>
      </w:r>
      <w:r w:rsidRPr="00B9725E">
        <w:rPr>
          <w:rStyle w:val="Strong"/>
          <w:sz w:val="28"/>
          <w:szCs w:val="28"/>
        </w:rPr>
        <w:t>Nghị định và một loạt các thông tư do các bộ, ngành ban hành chính thức có hiệu lực. Xin giới thiệu nội dung tóm tắt của một số văn bản nổi bật liên quan đến kinh tế - xã hội</w:t>
      </w:r>
      <w:r w:rsidR="00FB2E36" w:rsidRPr="00B9725E">
        <w:rPr>
          <w:rStyle w:val="Strong"/>
          <w:sz w:val="28"/>
          <w:szCs w:val="28"/>
        </w:rPr>
        <w:t xml:space="preserve"> và đời sống nhân dân trên địa bàn</w:t>
      </w:r>
      <w:r w:rsidRPr="00B9725E">
        <w:rPr>
          <w:rStyle w:val="Strong"/>
          <w:sz w:val="28"/>
          <w:szCs w:val="28"/>
        </w:rPr>
        <w:t>, như sau:</w:t>
      </w:r>
    </w:p>
    <w:p w:rsidR="001F7D70" w:rsidRPr="00B9725E" w:rsidRDefault="001F7D70" w:rsidP="00FB2E36">
      <w:pPr>
        <w:pStyle w:val="normalpara"/>
        <w:spacing w:before="120" w:beforeAutospacing="0" w:after="0" w:afterAutospacing="0" w:line="340" w:lineRule="exact"/>
        <w:ind w:firstLine="720"/>
        <w:jc w:val="both"/>
        <w:rPr>
          <w:b/>
          <w:sz w:val="28"/>
          <w:szCs w:val="28"/>
        </w:rPr>
      </w:pPr>
      <w:r w:rsidRPr="00B9725E">
        <w:rPr>
          <w:b/>
          <w:sz w:val="28"/>
          <w:szCs w:val="28"/>
        </w:rPr>
        <w:t xml:space="preserve">Quản lý hợp tác quốc tế về pháp luật và cải cách </w:t>
      </w:r>
      <w:r w:rsidR="00FB2E36" w:rsidRPr="00B9725E">
        <w:rPr>
          <w:b/>
          <w:sz w:val="28"/>
          <w:szCs w:val="28"/>
        </w:rPr>
        <w:t>t</w:t>
      </w:r>
      <w:r w:rsidRPr="00B9725E">
        <w:rPr>
          <w:b/>
          <w:sz w:val="28"/>
          <w:szCs w:val="28"/>
        </w:rPr>
        <w:t>ư pháp</w:t>
      </w:r>
    </w:p>
    <w:p w:rsidR="001F7D70" w:rsidRPr="00B9725E" w:rsidRDefault="001F7D70"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Nghị định 26/2024/NĐ-CP được ban hành ngày 1/3/2024 quy định về quản lý hợp tác quốc tế về pháp luật và cải cách tư pháp bao gồm nguyên tắc, nội dung, hình thức hợp tác, thực hiện hợp tác và trách nhiệm của các cơ quan, tổ chức Việt Nam trong hợp tác quốc tế về pháp luật và cải cách tư pháp.</w:t>
      </w:r>
    </w:p>
    <w:p w:rsidR="001F7D70" w:rsidRPr="001F7D70" w:rsidRDefault="001F7D70" w:rsidP="00FB2E36">
      <w:pPr>
        <w:shd w:val="clear" w:color="auto" w:fill="FFFFFF"/>
        <w:spacing w:before="120" w:after="0" w:line="340" w:lineRule="exact"/>
        <w:ind w:firstLine="720"/>
        <w:jc w:val="both"/>
        <w:rPr>
          <w:rFonts w:eastAsia="Times New Roman" w:cs="Times New Roman"/>
          <w:sz w:val="28"/>
          <w:szCs w:val="28"/>
        </w:rPr>
      </w:pPr>
      <w:r w:rsidRPr="001F7D70">
        <w:rPr>
          <w:rFonts w:eastAsia="Times New Roman" w:cs="Times New Roman"/>
          <w:sz w:val="28"/>
          <w:szCs w:val="28"/>
        </w:rPr>
        <w:t>Một trong những nguyên tắc trong hợp tác quốc tế về pháp luật và cải cách tư pháp là: Tuân thủ Hiến pháp, pháp luật Việt Nam, phù hợp với các điều ước quốc tế mà Việt Nam là thành viên, đảm bảo độc lập, chủ quyền, thống nhất, toàn vẹn lãnh thổ, an ninh quốc gia, trật tự an toàn xã hội. Không ký kết, thực hiện các hoạt động hợp tác phương hại đến lợi ích, an ninh quốc gia.</w:t>
      </w:r>
      <w:r w:rsidRPr="00B9725E">
        <w:rPr>
          <w:rFonts w:eastAsia="Times New Roman" w:cs="Times New Roman"/>
          <w:sz w:val="28"/>
          <w:szCs w:val="28"/>
        </w:rPr>
        <w:t xml:space="preserve"> </w:t>
      </w:r>
      <w:r w:rsidRPr="001F7D70">
        <w:rPr>
          <w:rFonts w:eastAsia="Times New Roman" w:cs="Times New Roman"/>
          <w:sz w:val="28"/>
          <w:szCs w:val="28"/>
        </w:rPr>
        <w:t>Những nguyên tắc khác là: Chủ động lựa chọn và thúc đẩy những nội dung hợp tác mà Việt Nam có nhu cầu, phù hợp với thực tiễn, điều kiện của Việt Nam, chủ trương định hướng của Đảng về đối ngoại, xây dựng, hoàn thiện Nhà nước pháp quyền xã hội chủ nghĩa Việt Nam và quy định pháp luật có liên quan. Bình đẳng và không can thiệp vào công việc nội bộ của nhau, thúc đẩy hợp tác với các đối tác có kinh nghiệm hợp tác tốt với Việt Nam, chú trọng tính bền vững của hoạt động hợp tác. Bảo đảm công khai, minh bạch, hiệu quả, thiết thực và đề cao trách nhiệm trong hợp tác quốc tế về pháp luật và cải cách tư pháp.</w:t>
      </w:r>
    </w:p>
    <w:p w:rsidR="001F7D70" w:rsidRPr="001F7D70" w:rsidRDefault="001F7D70" w:rsidP="00FB2E36">
      <w:pPr>
        <w:shd w:val="clear" w:color="auto" w:fill="FFFFFF"/>
        <w:spacing w:before="120" w:after="0" w:line="340" w:lineRule="exact"/>
        <w:ind w:firstLine="720"/>
        <w:jc w:val="both"/>
        <w:rPr>
          <w:rFonts w:eastAsia="Times New Roman" w:cs="Times New Roman"/>
          <w:sz w:val="28"/>
          <w:szCs w:val="28"/>
        </w:rPr>
      </w:pPr>
      <w:r w:rsidRPr="001F7D70">
        <w:rPr>
          <w:rFonts w:eastAsia="Times New Roman" w:cs="Times New Roman"/>
          <w:sz w:val="28"/>
          <w:szCs w:val="28"/>
        </w:rPr>
        <w:t>Theo Nghị định, hợp tác quốc tế về pháp luật và cải cách tư pháp gồm toàn bộ hoặc một phần nội dung sau: Tăng cường năng lực trong xây dựng văn bản quy phạm phá</w:t>
      </w:r>
      <w:r w:rsidRPr="00B9725E">
        <w:rPr>
          <w:rFonts w:eastAsia="Times New Roman" w:cs="Times New Roman"/>
          <w:sz w:val="28"/>
          <w:szCs w:val="28"/>
        </w:rPr>
        <w:t>p luật;</w:t>
      </w:r>
      <w:r w:rsidRPr="001F7D70">
        <w:rPr>
          <w:rFonts w:eastAsia="Times New Roman" w:cs="Times New Roman"/>
          <w:sz w:val="28"/>
          <w:szCs w:val="28"/>
        </w:rPr>
        <w:t xml:space="preserve"> Nâng cao hiệu lực, hiệu</w:t>
      </w:r>
      <w:r w:rsidRPr="00B9725E">
        <w:rPr>
          <w:rFonts w:eastAsia="Times New Roman" w:cs="Times New Roman"/>
          <w:sz w:val="28"/>
          <w:szCs w:val="28"/>
        </w:rPr>
        <w:t xml:space="preserve"> quả tổ chức thi hành pháp luật;</w:t>
      </w:r>
      <w:r w:rsidRPr="001F7D70">
        <w:rPr>
          <w:rFonts w:eastAsia="Times New Roman" w:cs="Times New Roman"/>
          <w:sz w:val="28"/>
          <w:szCs w:val="28"/>
        </w:rPr>
        <w:t xml:space="preserve"> Đào tạo và bồi</w:t>
      </w:r>
      <w:r w:rsidRPr="00B9725E">
        <w:rPr>
          <w:rFonts w:eastAsia="Times New Roman" w:cs="Times New Roman"/>
          <w:sz w:val="28"/>
          <w:szCs w:val="28"/>
        </w:rPr>
        <w:t xml:space="preserve"> dưỡng nguồn nhân lực pháp luật;</w:t>
      </w:r>
      <w:r w:rsidRPr="001F7D70">
        <w:rPr>
          <w:rFonts w:eastAsia="Times New Roman" w:cs="Times New Roman"/>
          <w:sz w:val="28"/>
          <w:szCs w:val="28"/>
        </w:rPr>
        <w:t xml:space="preserve"> Cải cách tư pháp.</w:t>
      </w:r>
    </w:p>
    <w:p w:rsidR="001F7D70" w:rsidRPr="001F7D70" w:rsidRDefault="001F7D70" w:rsidP="00FB2E36">
      <w:pPr>
        <w:shd w:val="clear" w:color="auto" w:fill="FFFFFF"/>
        <w:spacing w:before="120" w:after="0" w:line="340" w:lineRule="exact"/>
        <w:ind w:firstLine="720"/>
        <w:jc w:val="both"/>
        <w:rPr>
          <w:rFonts w:eastAsia="Times New Roman" w:cs="Times New Roman"/>
          <w:sz w:val="28"/>
          <w:szCs w:val="28"/>
        </w:rPr>
      </w:pPr>
      <w:r w:rsidRPr="001F7D70">
        <w:rPr>
          <w:rFonts w:eastAsia="Times New Roman" w:cs="Times New Roman"/>
          <w:sz w:val="28"/>
          <w:szCs w:val="28"/>
        </w:rPr>
        <w:t>Hợp tác quốc tế về pháp luật và cải cách tư pháp được thực hiện dưới các hình thức: Ký kết và thực hiện các điều ước quốc tế, thỏa thuận quốc tế; xây dựng và thực hiện các chương trình, dự án, phi dự án; tổ chức các hội nghị, hội thảo quốc tế.</w:t>
      </w:r>
    </w:p>
    <w:p w:rsidR="001F7D70" w:rsidRPr="00B9725E" w:rsidRDefault="001F7D70" w:rsidP="00FB2E36">
      <w:pPr>
        <w:shd w:val="clear" w:color="auto" w:fill="FFFFFF"/>
        <w:spacing w:before="120" w:after="0" w:line="340" w:lineRule="exact"/>
        <w:ind w:firstLine="720"/>
        <w:jc w:val="both"/>
        <w:rPr>
          <w:rFonts w:eastAsia="Times New Roman" w:cs="Times New Roman"/>
          <w:sz w:val="28"/>
          <w:szCs w:val="28"/>
        </w:rPr>
      </w:pPr>
      <w:r w:rsidRPr="001F7D70">
        <w:rPr>
          <w:rFonts w:eastAsia="Times New Roman" w:cs="Times New Roman"/>
          <w:sz w:val="28"/>
          <w:szCs w:val="28"/>
        </w:rPr>
        <w:t>Nghị định này có hiệu lực thi hành từ ngày 15/5/2024 và thay thế Nghị định số 113/2014/NĐ-CP ngày 26/11/2014 của Chính phủ về quản lý hợp tác quốc tế về pháp luật.</w:t>
      </w:r>
      <w:r w:rsidRPr="00B9725E">
        <w:rPr>
          <w:rFonts w:eastAsia="Times New Roman" w:cs="Times New Roman"/>
          <w:sz w:val="28"/>
          <w:szCs w:val="28"/>
        </w:rPr>
        <w:t xml:space="preserve"> </w:t>
      </w:r>
      <w:r w:rsidRPr="001F7D70">
        <w:rPr>
          <w:rFonts w:eastAsia="Times New Roman" w:cs="Times New Roman"/>
          <w:sz w:val="28"/>
          <w:szCs w:val="28"/>
        </w:rPr>
        <w:t>Hoạt động hợp tác quốc tế về pháp luật và cải cách tư pháp đã được phê duyệt trước ngày Nghị định này có hiệu lực thì không phải thực hiện lại quy trình, thủ tục xin ý kiến tại Nghị định này. Việc tổ chức thực hiện hoạt động hợp tác quốc tế theo quy định của Nghị định này.</w:t>
      </w:r>
      <w:r w:rsidRPr="00B9725E">
        <w:rPr>
          <w:rFonts w:eastAsia="Times New Roman" w:cs="Times New Roman"/>
          <w:sz w:val="28"/>
          <w:szCs w:val="28"/>
        </w:rPr>
        <w:t xml:space="preserve"> </w:t>
      </w:r>
      <w:r w:rsidRPr="001F7D70">
        <w:rPr>
          <w:rFonts w:eastAsia="Times New Roman" w:cs="Times New Roman"/>
          <w:sz w:val="28"/>
          <w:szCs w:val="28"/>
        </w:rPr>
        <w:t xml:space="preserve">Hoạt động hợp tác quốc tế về pháp luật và cải cách tư pháp đã trình cấp có thẩm quyền phê duyệt trước ngày Nghị định này có hiệu </w:t>
      </w:r>
      <w:r w:rsidRPr="001F7D70">
        <w:rPr>
          <w:rFonts w:eastAsia="Times New Roman" w:cs="Times New Roman"/>
          <w:sz w:val="28"/>
          <w:szCs w:val="28"/>
        </w:rPr>
        <w:lastRenderedPageBreak/>
        <w:t>lực mà chưa được phê duyệt thì tiếp tục thực hiện việc phê duyệt theo quy định tại Nghị định số 113/2014/NĐ-CP ngày 26/11/2014 của Chính phủ về quản lý hợp tác quốc tế về pháp luật và triển khai thực hiện theo quy định tại Nghị định này. </w:t>
      </w:r>
    </w:p>
    <w:p w:rsidR="001F7D70" w:rsidRPr="00B9725E" w:rsidRDefault="001F7D70" w:rsidP="00FB2E36">
      <w:pPr>
        <w:shd w:val="clear" w:color="auto" w:fill="FFFFFF"/>
        <w:spacing w:before="120" w:after="0" w:line="340" w:lineRule="exact"/>
        <w:ind w:firstLine="720"/>
        <w:jc w:val="both"/>
        <w:rPr>
          <w:rFonts w:eastAsia="Times New Roman" w:cs="Times New Roman"/>
          <w:b/>
          <w:sz w:val="28"/>
          <w:szCs w:val="28"/>
        </w:rPr>
      </w:pPr>
      <w:r w:rsidRPr="00B9725E">
        <w:rPr>
          <w:rFonts w:cs="Times New Roman"/>
          <w:b/>
          <w:sz w:val="28"/>
          <w:szCs w:val="28"/>
        </w:rPr>
        <w:t>Quy định tiêu chuẩn chức danh công chức lãnh đạo, quản lý</w:t>
      </w:r>
    </w:p>
    <w:p w:rsidR="002F4337" w:rsidRPr="00B9725E" w:rsidRDefault="002F4337"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 xml:space="preserve">Nghị định 29/2024/NĐ-CP của Chính phủ được ban hành ngày 6/3/2024, có hiệu lực từ 1/5/2024 quy định tiêu chuẩn chức danh công chức lãnh đạo, quản lý trong cơ quan hành chính Nhà Nước. </w:t>
      </w:r>
    </w:p>
    <w:p w:rsidR="001F7D70" w:rsidRPr="00B9725E" w:rsidRDefault="001F7D70"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Nghị định quy định tiêu chuẩn chung áp dụng đối với các chức danh công chức lãnh đạo, quản lý gồm: tiêu chuẩn về chính trị tư tưởng; tiêu chuẩn về đạo đức, lối sống, ý thức tổ chức kỷ luật; tiêu chuẩn về trình độ; tiêu chuẩn về năng lực và uy tín; tiêu chuẩn về sức khỏe, độ tuổi, kinh ng</w:t>
      </w:r>
      <w:r w:rsidR="002F4337" w:rsidRPr="00B9725E">
        <w:rPr>
          <w:sz w:val="28"/>
          <w:szCs w:val="28"/>
        </w:rPr>
        <w:t xml:space="preserve">hiệm công tác; </w:t>
      </w:r>
      <w:r w:rsidRPr="00B9725E">
        <w:rPr>
          <w:sz w:val="28"/>
          <w:szCs w:val="28"/>
        </w:rPr>
        <w:t>quy định cụ thể các tiêu chuẩn đối với từng chức danh công chức lãnh đạo, quản lý thuộc Bộ, thuộc tổng cục và của cơ quan chuyên môn thuộc Ủy ban nhân dân cấp tỉnh, cấp huyện.</w:t>
      </w:r>
    </w:p>
    <w:p w:rsidR="002F4337" w:rsidRPr="00B9725E" w:rsidRDefault="002F4337"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Ngoài ra, Nghị định cũng quy định một số trường hợp đặc thù áp dụng tiêu chuẩn chức danh khi bổ nhiệm.</w:t>
      </w:r>
    </w:p>
    <w:p w:rsidR="002F4337" w:rsidRPr="00B9725E" w:rsidRDefault="002F4337"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Theo quy định,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 Trường hợp Thứ trưởng, Phó Thủ trưởng cơ quan ngang Bộ được bổ nhiệm giữ chức vụ, chức danh tương đương hoặc kiêm nhiệm chức vụ, chức danh khác thì không nhất thiết phải bảo đảm đầy đủ tiêu chuẩn của chức vụ, chức danh tương đương hoặc kiêm nhiệm. 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này nhưng không phải đáp ứng ngay tiêu chuẩn về quản lý nhà nước theo quy định của chức vụ, chức danh dự kiến bổ nhiệm. Đối với các trường hợp này phải hoàn thiện tiêu chuẩn trong thời hạn 12 tháng kế từ ngày có quyết định bổ nhiệm.</w:t>
      </w:r>
    </w:p>
    <w:p w:rsidR="001F7D70" w:rsidRPr="00B9725E" w:rsidRDefault="002F4337" w:rsidP="00FB2E36">
      <w:pPr>
        <w:pStyle w:val="normalpara"/>
        <w:spacing w:before="120" w:beforeAutospacing="0" w:after="0" w:afterAutospacing="0" w:line="340" w:lineRule="exact"/>
        <w:ind w:firstLine="720"/>
        <w:jc w:val="both"/>
        <w:rPr>
          <w:b/>
          <w:sz w:val="28"/>
          <w:szCs w:val="28"/>
        </w:rPr>
      </w:pPr>
      <w:r w:rsidRPr="00B9725E">
        <w:rPr>
          <w:b/>
          <w:sz w:val="28"/>
          <w:szCs w:val="28"/>
        </w:rPr>
        <w:t>Quản lý phương tiện giao thông cơ giới đường bộ đăng ký tại nước ngoài, do người nước ngoài đưa vào Việt Nam du lịch</w:t>
      </w:r>
    </w:p>
    <w:p w:rsidR="00B75A96" w:rsidRPr="00B9725E" w:rsidRDefault="00B75A96" w:rsidP="00FB2E36">
      <w:pPr>
        <w:pStyle w:val="normalpara"/>
        <w:spacing w:before="120" w:beforeAutospacing="0" w:after="0" w:afterAutospacing="0" w:line="340" w:lineRule="exact"/>
        <w:ind w:firstLine="720"/>
        <w:jc w:val="both"/>
        <w:rPr>
          <w:sz w:val="28"/>
          <w:szCs w:val="28"/>
        </w:rPr>
      </w:pPr>
      <w:r w:rsidRPr="00B9725E">
        <w:rPr>
          <w:sz w:val="28"/>
          <w:szCs w:val="28"/>
        </w:rPr>
        <w:t>Nghị định 30/2024/NĐ-CP được ban hành ngày 7/3/2024 quy định về quản lý phương tiện giao thông cơ giới đường bộ đăng ký tại nước ngoài, do người nước ngoài đưa vào Việt Nam du lịch sẽ bắt đầu có hiệu lực từ 1/5/2024. Nghị định này áp dụng đối với tổ chức, cá nhân Việt Nam, cá nhân nước ngoài liên quan đến phương tiện cơ giới nước ngoài, do người nước ngoài điều khiển vào tham gia giao thông tại Việt Nam với mục đích du lịch, cụ thể:</w:t>
      </w:r>
    </w:p>
    <w:p w:rsidR="00B75A96" w:rsidRPr="00B9725E" w:rsidRDefault="00B75A96" w:rsidP="00FB2E36">
      <w:pPr>
        <w:pStyle w:val="normalpara"/>
        <w:spacing w:before="120" w:beforeAutospacing="0" w:after="0" w:afterAutospacing="0" w:line="340" w:lineRule="exact"/>
        <w:ind w:firstLine="720"/>
        <w:jc w:val="both"/>
        <w:rPr>
          <w:sz w:val="28"/>
          <w:szCs w:val="28"/>
        </w:rPr>
      </w:pPr>
      <w:r w:rsidRPr="00B9725E">
        <w:rPr>
          <w:sz w:val="28"/>
          <w:szCs w:val="28"/>
        </w:rPr>
        <w:lastRenderedPageBreak/>
        <w:t>Tổ chức cá nhân trong nước và nước ngoài liên quan đến việc phương tiện cơ giới nước ngoài, do người nước ngoài điều khiển vào tham gia giao thông tại Việt Nam với mục đích du lịch phải thực hiện quy định của Nghị định này và văn bản quy phạm pháp luật khác có liên quan. Trong trường hợp Điều ước quốc tế mà nước Cộng hòa xã hội chủ nghĩa Việt Nam là thành viên có quy định khác thì áp dụng các quy định của Điều ước quốc tế đó.</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Nghị định quy định</w:t>
      </w:r>
      <w:r w:rsidRPr="00B9725E">
        <w:rPr>
          <w:rStyle w:val="Strong"/>
          <w:sz w:val="28"/>
          <w:szCs w:val="28"/>
          <w:bdr w:val="none" w:sz="0" w:space="0" w:color="auto" w:frame="1"/>
        </w:rPr>
        <w:t> </w:t>
      </w:r>
      <w:r w:rsidRPr="00B9725E">
        <w:rPr>
          <w:sz w:val="28"/>
          <w:szCs w:val="28"/>
          <w:bdr w:val="none" w:sz="0" w:space="0" w:color="auto" w:frame="1"/>
        </w:rPr>
        <w:t>điều kiện chung đối với người điều khiển và phương tiện cơ giới nước ngoài vào Việt Nam gồm: Phải thông qua doanh nghiệp kinh doanh dịch vụ lữ hành quốc tế của Việt Nam làm thủ tục đề nghị chấp thuận được tổ chức cho khách du lịch nước ngoài mang phương tiện cơ giới nước ngoài vào tham gia giao thông tại Việt Nam; Có văn bản chấp thuận được tổ chức cho khách du lịch nước ngoài mang phương tiện cơ giới nước ngoài vào tham gia giao thông tại Việt Nam của Bộ Công an cấp.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Phương tiện cơ giới nước ngoài tham gia giao thông tại Việt Nam phải đảm bảo các điều kiện sau:</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Là phương tiện cơ giới đường bộ quy định tại khoản 1 Điều 3 của Nghị định này (Nghị định 30/2024/NĐ-CP);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Có Giấy đăng ký xe và gắn biển số xe do cơ quan có thẩm quyền của quốc gia đăng ký xe cấp và còn hiệu lực;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Có Giấy chứng nhận kiểm định an toàn kỹ thuật và bảo vệ môi trường đối với xe cơ giới hoặc giấy tờ tương đương do cơ quan có thẩm quyền của quốc gia đăng ký xe cấp còn hiệu lực (đối với xe ô tô);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Đối với phương tiện cơ giới nước ngoài là xe ô tô có tay lái ở bên phải: Có công hàm của Cơ quan đại diện ngoại giao, cơ quan lãnh sự hoặc cơ quan đại diện của tổ chức quốc tế liên Chính phủ tại Việt Nam gửi Bộ Công an đề nghị và nêu rõ lý do cho phương tiện tham gia giao thông tại Việt Nam; Chỉ được tạm nhập, tái xuất qua các cửa khẩu quốc tế đường bộ, đường biển, đường thủy nội địa, đường sắt, đường hàng không; phải tạm nhập, tái xuất theo đúng cửa khẩu đã được Bộ Công an chấp thuận;</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Phải làm thủ tục hải quan, tạm nhập, tái xuất theo quy định của pháp luật hải quan ngay tại cửa khẩu nhập cảnh, xuất cảnh;</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Thời gian được phép tham gia giao thông tại Việt Nam tối đa không quá 45 ngày. Trong trường hợp bất khả kháng được lưu lại Việt Nam thêm không quá 10 ngày và phải thực hiện theo quy định tại khoản 4 Điều 5 Nghị định này. </w:t>
      </w:r>
    </w:p>
    <w:p w:rsidR="002F4337" w:rsidRPr="00B9725E" w:rsidRDefault="002F4337" w:rsidP="00FB2E36">
      <w:pPr>
        <w:pStyle w:val="NormalWeb"/>
        <w:shd w:val="clear" w:color="auto" w:fill="FFFFFF"/>
        <w:spacing w:before="120" w:beforeAutospacing="0" w:after="0" w:afterAutospacing="0" w:line="340" w:lineRule="exact"/>
        <w:jc w:val="both"/>
        <w:textAlignment w:val="baseline"/>
        <w:rPr>
          <w:b/>
          <w:sz w:val="28"/>
          <w:szCs w:val="28"/>
        </w:rPr>
      </w:pPr>
      <w:r w:rsidRPr="00B9725E">
        <w:rPr>
          <w:rStyle w:val="Strong"/>
          <w:sz w:val="28"/>
          <w:szCs w:val="28"/>
          <w:bdr w:val="none" w:sz="0" w:space="0" w:color="auto" w:frame="1"/>
        </w:rPr>
        <w:t> </w:t>
      </w:r>
      <w:r w:rsidRPr="00B9725E">
        <w:rPr>
          <w:rStyle w:val="Strong"/>
          <w:sz w:val="28"/>
          <w:szCs w:val="28"/>
          <w:bdr w:val="none" w:sz="0" w:space="0" w:color="auto" w:frame="1"/>
        </w:rPr>
        <w:tab/>
      </w:r>
      <w:r w:rsidRPr="00B9725E">
        <w:rPr>
          <w:rStyle w:val="Strong"/>
          <w:b w:val="0"/>
          <w:iCs/>
          <w:sz w:val="28"/>
          <w:szCs w:val="28"/>
          <w:bdr w:val="none" w:sz="0" w:space="0" w:color="auto" w:frame="1"/>
        </w:rPr>
        <w:t>Điều kiện đối với người điều khiển phương tiện cơ giới nước ngoài:</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lastRenderedPageBreak/>
        <w:t>- Là người nước ngoài;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Có hộ chiếu hoặc giấy tờ có giá trị đi lại quốc tế và thị thực, giấy tờ có giá trị cư trú tại Việt Nam, trừ trường hợp được miễn thị thực theo quy định của Luật Nhập cảnh, xuất cảnh, quá cảnh, cư trú của người nước ngoài tại Việt Nam. Trường hợp người nước ngoài nhập cảnh theo diện đơn phương miễn thị thực thì hộ chiếu phải còn thời hạn sử dụng ít nhất 06 tháng; người nước ngoài sử dụng thị thực điện tử phải nhập cảnh qua các cửa khẩu quốc tế do Chính phủ quyết định;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rPr>
      </w:pPr>
      <w:r w:rsidRPr="00B9725E">
        <w:rPr>
          <w:sz w:val="28"/>
          <w:szCs w:val="28"/>
          <w:bdr w:val="none" w:sz="0" w:space="0" w:color="auto" w:frame="1"/>
        </w:rPr>
        <w:t>- Có Giấy phép lái xe do nước ngoài cấp phù hợp với loại xe điều khiển và còn hiệu lực;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sz w:val="28"/>
          <w:szCs w:val="28"/>
          <w:bdr w:val="none" w:sz="0" w:space="0" w:color="auto" w:frame="1"/>
        </w:rPr>
      </w:pPr>
      <w:r w:rsidRPr="00B9725E">
        <w:rPr>
          <w:sz w:val="28"/>
          <w:szCs w:val="28"/>
          <w:bdr w:val="none" w:sz="0" w:space="0" w:color="auto" w:frame="1"/>
        </w:rPr>
        <w:t>- Phải làm thủ tục nhập cảnh, xuất cảnh theo quy định của Luật Nhập cảnh, xuất cảnh và cư trú của người nước ngoài tại Việt Nam. </w:t>
      </w:r>
    </w:p>
    <w:p w:rsidR="002F4337" w:rsidRPr="00B9725E" w:rsidRDefault="002F4337" w:rsidP="00FB2E36">
      <w:pPr>
        <w:pStyle w:val="NormalWeb"/>
        <w:shd w:val="clear" w:color="auto" w:fill="FFFFFF"/>
        <w:spacing w:before="120" w:beforeAutospacing="0" w:after="0" w:afterAutospacing="0" w:line="340" w:lineRule="exact"/>
        <w:ind w:firstLine="720"/>
        <w:jc w:val="both"/>
        <w:textAlignment w:val="baseline"/>
        <w:rPr>
          <w:b/>
          <w:sz w:val="28"/>
          <w:szCs w:val="28"/>
          <w:shd w:val="clear" w:color="auto" w:fill="FFFFFF"/>
        </w:rPr>
      </w:pPr>
      <w:r w:rsidRPr="00B9725E">
        <w:rPr>
          <w:b/>
          <w:sz w:val="28"/>
          <w:szCs w:val="28"/>
          <w:shd w:val="clear" w:color="auto" w:fill="FFFFFF"/>
        </w:rPr>
        <w:t>Quản lý, phát triển cụm công nghiệp</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Nghị định 32 có hiệu lực từ ngày 01/5/2024 với 7 chương và 38 điều, thay thế Nghị định số 68/2017/NĐ-CP ngày 25/5/2017 của Chính phủ về quản lý, phát triển cụm công nghiệp và Nghị định số 66/2020/NĐ-CP ngày 11/6/2020 của Chính phủ sửa đổi, bổ sung một số điều của Nghị định số 68/2017/NĐ-CP, quy định về phương án phát triển cụm công nghiệp; thành lập, mở rộng cụm công nghiệp; đầu tư xây dựng hạ tầng kỹ thuật và sản xuất kinh doanh trong cụm công nghiệp; chính sách ưu đãi, hỗ trợ phát triển cụm công nghiệp và quản lý nhà nước đối với cụm công nghiệp. Đối tượng áp dụng của Nghị định này là các doanh nghiệp, hợp tác xã, tổ chức đầu tư xây dựng hạ tầng kỹ thuật cụm công nghiệp; Các tổ chức, cá nhân sản xuất kinh doanh trong cụm công nghiệp và các cơ quan, tổ chức, cá nhân khác liên quan tới quản lý, đầu tư và hoạt động của cụm công nghiệp.</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 xml:space="preserve">Theo đó, tổ chức, cá nhân muốn thành lập, mở rộng cụm công nghiệp phải chuẩn bị hồ sơ đề nghị thành lập, mở rộng cụm công nghiệp. Về trình tự thành lập, mở rộng cụm công nghiệp, Nghị định quy định rõ: trong thời gian 05 ngày làm việc kể từ ngày nhận được văn bản đầu tiên của doanh nghiệp, hợp tác xã, tổ chức đề nghị làm chủ đầu tư xây dựng hạ tầng kỹ thuật cụm công nghiệp, Ủy ban nhân dân cấp huyện có trách nhiệm thông báo rộng rãi việc tiếp nhận hồ sơ đề nghị thành lập, mở rộng cụm công nghiệp trên phương tiện thông tin đại chúng của địa phương. Thời hạn nhận hồ sơ trong vòng 15 ngày kể từ ngày ra thông báo. Trong thời gian 05 ngày làm việc kể từ ngày kết thúc nhận hồ sơ thành lập, mở rộng cụm công nghiệp, Ủy ban nhân dân cấp huyện chủ trì, phối hợp với doanh nghiệp, hợp tác xã, tổ chức đề nghị làm chủ đầu tư xây dựng hạ tầng kỹ thuật cụm công nghiệp lập 02 bộ hồ sơ thành lập, mở rộng cụm công nghiệp quy định tại khoản 1 Điều 9 Nghị định này kèm tệp tin điện tử của hồ sơ, gửi Sở Công Thương để chủ trì, phối hợp với các sở, ngành liên quan tổ chức thẩm định. Trong thời hạn 25 ngày kể từ ngày nhận đầy đủ hồ sơ </w:t>
      </w:r>
      <w:r w:rsidRPr="00B9725E">
        <w:rPr>
          <w:sz w:val="28"/>
          <w:szCs w:val="28"/>
        </w:rPr>
        <w:lastRenderedPageBreak/>
        <w:t>thành lập, mở rộng cụm công nghiệp, Sở Công Thương hoàn thành thẩm định, tổng hợp báo cáo Ủy ban nhân dân cấp tỉnh việc thành lập, mở rộng cụm công nghiệp. Trường hợp hồ sơ, nội dung Báo cáo thành lập, mở rộng cụm công nghiệp không đáp ứng yêu cầu, Sở Công Thương có văn bản gửi Ủy ban nhân dân cấp huyện bổ sung, hoàn thiện hồ sơ. Thời hạn bổ sung, hoàn thiện hồ sơ không tính vào thời gian thẩm định.</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Việc lựa chọn doanh nghiệp, hợp tác xã, tổ chức làm chủ đầu tư xây dựng hạ tầng kỹ thuật cụm công nghiệp thực hiện theo quy định tại khoản 2 Điều 13 Nghị định này. Ủy ban nhân dân cấp tỉnh quy định việc thông báo cho doanh nghiệp, hợp tác xã, tổ chức đề nghị làm chủ đầu tư xây dựng hạ tầng kỹ thuật cụm công nghiệp về kết quả lựa chọn chủ đầu tư.</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Trong thời hạn 07 ngày làm việc kể từ ngày nhận được 01 bộ hồ sơ thành lập, mở rộng cụm công nghiệp kèm báo cáo thẩm định của Sở Công Thương, Ủy ban nhân dân cấp tỉnh xem xét, quyết định việc thành lập, mở rộng cụm công nghiệp. Quyết định thành lập, mở rộng cụm công nghiệp được gửi Bộ Công Thương 01 bản.</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Trường hợp cụm công nghiệp có điều chỉnh về tên gọi, vị trí thay đổi trong địa giới hành chính cấp huyện, diện tích tăng không quá 05 ha so với quy hoạch đã được phê duyệt và phù hợp với quy hoạch sử dụng đất cấp huyện và các quy hoạch khác trên địa bàn thì Ủy ban nhân dân cấp tỉnh xem xét, quyết định tại Quyết định thành lập, mở rộng cụm công nghiệp; đồng thời cập nhật nội dung thay đổi để báo cáo Thủ tướng Chính phủ tại kỳ lập, phê duyệt quy hoạch tỉnh tiếp theo.</w:t>
      </w:r>
    </w:p>
    <w:p w:rsidR="00D25875" w:rsidRPr="00B9725E" w:rsidRDefault="00D25875"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Nghị định 32 cũng đồng thời quy định chuyển tiếp các nội dung: Cụm công nghiệp có diện tích dưới 10 ha hoặc cụm công nghiệp ở các huyện miền núi, cụm công nghiệp làng nghề có diện tích dưới 5 ha đã được thành lập, mở rộng trước ngày Nghị định số </w:t>
      </w:r>
      <w:hyperlink r:id="rId6" w:tgtFrame="_blank" w:history="1">
        <w:r w:rsidRPr="00B9725E">
          <w:rPr>
            <w:rStyle w:val="Hyperlink"/>
            <w:color w:val="auto"/>
            <w:sz w:val="28"/>
            <w:szCs w:val="28"/>
          </w:rPr>
          <w:t>68/2017/NĐ-CP</w:t>
        </w:r>
      </w:hyperlink>
      <w:r w:rsidRPr="00B9725E">
        <w:rPr>
          <w:sz w:val="28"/>
          <w:szCs w:val="28"/>
        </w:rPr>
        <w:t> ngày 25 tháng 5 năm 2017 của Chính phủ về quản lý, phát triển cụm công nghiệp có hiệu lực và cụm công nghiệp hình thành trước ngày Quyết định số </w:t>
      </w:r>
      <w:hyperlink r:id="rId7" w:tgtFrame="_blank" w:history="1">
        <w:r w:rsidRPr="00B9725E">
          <w:rPr>
            <w:rStyle w:val="Hyperlink"/>
            <w:color w:val="auto"/>
            <w:sz w:val="28"/>
            <w:szCs w:val="28"/>
          </w:rPr>
          <w:t>105/2009/QĐ-TTg</w:t>
        </w:r>
      </w:hyperlink>
      <w:r w:rsidRPr="00B9725E">
        <w:rPr>
          <w:sz w:val="28"/>
          <w:szCs w:val="28"/>
        </w:rPr>
        <w:t> ngày 19 tháng 8 năm 2009 của Thủ tướng Chính phủ về việc ban hành Quy chế quản lý cụm công nghiệp có hiệu lực được cơ quan có thẩm quyền thành lập với diện tích trên 75 ha tiếp tục hoạt động và quản lý theo quy định tại Nghị định này; Cụm công nghiệp đang trong quá trình thẩm định, quyết định thành lập, mở rộng theo quy định tại Nghị định số </w:t>
      </w:r>
      <w:hyperlink r:id="rId8" w:tgtFrame="_blank" w:history="1">
        <w:r w:rsidRPr="00B9725E">
          <w:rPr>
            <w:rStyle w:val="Hyperlink"/>
            <w:color w:val="auto"/>
            <w:sz w:val="28"/>
            <w:szCs w:val="28"/>
          </w:rPr>
          <w:t>68/2017/NĐ-CP</w:t>
        </w:r>
      </w:hyperlink>
      <w:r w:rsidRPr="00B9725E">
        <w:rPr>
          <w:sz w:val="28"/>
          <w:szCs w:val="28"/>
        </w:rPr>
        <w:t> và Nghị định số </w:t>
      </w:r>
      <w:hyperlink r:id="rId9" w:tgtFrame="_blank" w:history="1">
        <w:r w:rsidRPr="00B9725E">
          <w:rPr>
            <w:rStyle w:val="Hyperlink"/>
            <w:color w:val="auto"/>
            <w:sz w:val="28"/>
            <w:szCs w:val="28"/>
          </w:rPr>
          <w:t>66/2020/NĐ-CP</w:t>
        </w:r>
      </w:hyperlink>
      <w:r w:rsidRPr="00B9725E">
        <w:rPr>
          <w:sz w:val="28"/>
          <w:szCs w:val="28"/>
        </w:rPr>
        <w:t> ngày 11 tháng 6 năm 2020 của Chính phủ sửa đổi, bổ sung một số điều của Nghị định số </w:t>
      </w:r>
      <w:hyperlink r:id="rId10" w:tgtFrame="_blank" w:history="1">
        <w:r w:rsidRPr="00B9725E">
          <w:rPr>
            <w:rStyle w:val="Hyperlink"/>
            <w:color w:val="auto"/>
            <w:sz w:val="28"/>
            <w:szCs w:val="28"/>
          </w:rPr>
          <w:t>68/2017/NĐ-CP</w:t>
        </w:r>
      </w:hyperlink>
      <w:r w:rsidRPr="00B9725E">
        <w:rPr>
          <w:sz w:val="28"/>
          <w:szCs w:val="28"/>
        </w:rPr>
        <w:t> tiếp tục thực hiện theo quy định tại các Nghị định này; Các đơn vị được giao làm chủ đầu tư xây dựng hạ tầng kỹ thuật cụm công nghiệp quy định tại khoản 2 Điều 15 Nghị định số </w:t>
      </w:r>
      <w:hyperlink r:id="rId11" w:tgtFrame="_blank" w:history="1">
        <w:r w:rsidRPr="00B9725E">
          <w:rPr>
            <w:rStyle w:val="Hyperlink"/>
            <w:color w:val="auto"/>
            <w:sz w:val="28"/>
            <w:szCs w:val="28"/>
          </w:rPr>
          <w:t>68/2017/NĐ-CP</w:t>
        </w:r>
      </w:hyperlink>
      <w:r w:rsidRPr="00B9725E">
        <w:rPr>
          <w:sz w:val="28"/>
          <w:szCs w:val="28"/>
        </w:rPr>
        <w:t xml:space="preserve"> tiếp tục hoạt động đến khi có quyết định sắp xếp, xử lý của cơ quan có thẩm quyền; thực hiện các quyền, nghĩa vụ của chủ đầu tư xây dựng hạ tầng kỹ thuật cụm công nghiệp tại Nghị định này và pháp luật liên quan; Xử lý thành lập cụm công nghiệp có trong </w:t>
      </w:r>
      <w:r w:rsidRPr="00B9725E">
        <w:rPr>
          <w:sz w:val="28"/>
          <w:szCs w:val="28"/>
        </w:rPr>
        <w:lastRenderedPageBreak/>
        <w:t>Phương án phát triển cụm công nghiệp thuộc Quy hoạch tỉnh hình thành trước Quyết định số </w:t>
      </w:r>
      <w:hyperlink r:id="rId12" w:tgtFrame="_blank" w:history="1">
        <w:r w:rsidRPr="00B9725E">
          <w:rPr>
            <w:rStyle w:val="Hyperlink"/>
            <w:color w:val="auto"/>
            <w:sz w:val="28"/>
            <w:szCs w:val="28"/>
          </w:rPr>
          <w:t>105/2009/QĐ-TTg</w:t>
        </w:r>
      </w:hyperlink>
      <w:r w:rsidRPr="00B9725E">
        <w:rPr>
          <w:sz w:val="28"/>
          <w:szCs w:val="28"/>
        </w:rPr>
        <w:t> (gồm các cụm công nghiệp đã được cấp có thẩm quyền phê duyệt dự án đầu tư xây dựng hạ tầng kỹ thuật trước ngày 05 tháng 10 năm 2009, được phê duyệt quy hoạch chi tiết xây dựng trước ngày 05 tháng 10 năm 2009, nằm trong Quy hoạch phát triển cụm công nghiệp hoặc Quy hoạch phát triển công nghiệp của địa phương và có dự án đầu tư vào cụm công nghiệp trước ngày 05 tháng 10 năm 2009) theo quy định.</w:t>
      </w:r>
    </w:p>
    <w:p w:rsidR="00D25875" w:rsidRPr="00B9725E" w:rsidRDefault="00D25875" w:rsidP="00FB2E36">
      <w:pPr>
        <w:pStyle w:val="NormalWeb"/>
        <w:shd w:val="clear" w:color="auto" w:fill="FFFFFF"/>
        <w:spacing w:before="120" w:beforeAutospacing="0" w:after="0" w:afterAutospacing="0" w:line="340" w:lineRule="exact"/>
        <w:ind w:firstLine="720"/>
        <w:jc w:val="both"/>
        <w:textAlignment w:val="baseline"/>
        <w:rPr>
          <w:b/>
          <w:sz w:val="28"/>
          <w:szCs w:val="28"/>
        </w:rPr>
      </w:pPr>
      <w:r w:rsidRPr="00B9725E">
        <w:rPr>
          <w:b/>
          <w:bCs/>
          <w:sz w:val="28"/>
          <w:szCs w:val="28"/>
          <w:shd w:val="clear" w:color="auto" w:fill="FFFFFF"/>
        </w:rPr>
        <w:t>Quy định về thực hiện Công ước cấm phát triển, sản xuất, tàng trữ, sử dụng và phá hủy vũ khí hóa học</w:t>
      </w:r>
    </w:p>
    <w:p w:rsidR="00D25875" w:rsidRPr="00B9725E" w:rsidRDefault="00D25875" w:rsidP="00FB2E36">
      <w:pPr>
        <w:shd w:val="clear" w:color="auto" w:fill="FFFFFF"/>
        <w:spacing w:before="120" w:after="0" w:line="340" w:lineRule="exact"/>
        <w:ind w:firstLine="720"/>
        <w:jc w:val="both"/>
        <w:rPr>
          <w:rFonts w:eastAsia="Times New Roman" w:cs="Times New Roman"/>
          <w:bCs/>
          <w:sz w:val="28"/>
          <w:szCs w:val="28"/>
        </w:rPr>
      </w:pPr>
      <w:r w:rsidRPr="00D25875">
        <w:rPr>
          <w:rFonts w:eastAsia="Times New Roman" w:cs="Times New Roman"/>
          <w:bCs/>
          <w:sz w:val="28"/>
          <w:szCs w:val="28"/>
        </w:rPr>
        <w:t>Ngày 27/3/2024, Chính phủ hành Nghị định số 33/2024/NĐ-CP quy định việc thực hiện Công ước cấm phát triển, sản xuất, tàng trữ, sử dụng và phá hủy vũ khí hóa học.</w:t>
      </w:r>
    </w:p>
    <w:p w:rsidR="00D25875" w:rsidRPr="00D25875" w:rsidRDefault="00D25875" w:rsidP="00FB2E36">
      <w:pPr>
        <w:shd w:val="clear" w:color="auto" w:fill="FFFFFF"/>
        <w:spacing w:before="120" w:after="0" w:line="340" w:lineRule="exact"/>
        <w:ind w:firstLine="720"/>
        <w:jc w:val="both"/>
        <w:rPr>
          <w:rFonts w:eastAsia="Times New Roman" w:cs="Times New Roman"/>
          <w:sz w:val="28"/>
          <w:szCs w:val="28"/>
        </w:rPr>
      </w:pPr>
      <w:r w:rsidRPr="00D25875">
        <w:rPr>
          <w:rFonts w:eastAsia="Times New Roman" w:cs="Times New Roman"/>
          <w:sz w:val="28"/>
          <w:szCs w:val="28"/>
        </w:rPr>
        <w:t>Nghị định này quy định việc thực hiện Công ước cấm phát triển, sản xuất, tàng trữ, sử dụng và phá hủy vũ khí hóa học (Công ước cấm vũ khí hóa học) trên lãnh thổ nước Cộng hòa xã hội chủ nghĩa Việt Nam bao gồm:</w:t>
      </w:r>
      <w:r w:rsidRPr="00B9725E">
        <w:rPr>
          <w:rFonts w:eastAsia="Times New Roman" w:cs="Times New Roman"/>
          <w:sz w:val="28"/>
          <w:szCs w:val="28"/>
        </w:rPr>
        <w:t xml:space="preserve"> </w:t>
      </w:r>
      <w:r w:rsidRPr="00D25875">
        <w:rPr>
          <w:rFonts w:eastAsia="Times New Roman" w:cs="Times New Roman"/>
          <w:sz w:val="28"/>
          <w:szCs w:val="28"/>
        </w:rPr>
        <w:t xml:space="preserve"> Các quy định chung về việc thực h</w:t>
      </w:r>
      <w:r w:rsidRPr="00B9725E">
        <w:rPr>
          <w:rFonts w:eastAsia="Times New Roman" w:cs="Times New Roman"/>
          <w:sz w:val="28"/>
          <w:szCs w:val="28"/>
        </w:rPr>
        <w:t>iện Công ước cấm vũ khí hoá học;</w:t>
      </w:r>
      <w:r w:rsidRPr="00D25875">
        <w:rPr>
          <w:rFonts w:eastAsia="Times New Roman" w:cs="Times New Roman"/>
          <w:sz w:val="28"/>
          <w:szCs w:val="28"/>
        </w:rPr>
        <w:t xml:space="preserve"> Sản xuất, kinh doanh, xuất khẩu, nhập khẩu, chế biến, sử dụng, tàng trữ hoá chất Bảng;</w:t>
      </w:r>
      <w:r w:rsidRPr="00B9725E">
        <w:rPr>
          <w:rFonts w:eastAsia="Times New Roman" w:cs="Times New Roman"/>
          <w:sz w:val="28"/>
          <w:szCs w:val="28"/>
        </w:rPr>
        <w:t xml:space="preserve"> sản xuất hoá chất DOC, DOC-PSF;</w:t>
      </w:r>
      <w:r w:rsidRPr="00D25875">
        <w:rPr>
          <w:rFonts w:eastAsia="Times New Roman" w:cs="Times New Roman"/>
          <w:sz w:val="28"/>
          <w:szCs w:val="28"/>
        </w:rPr>
        <w:t xml:space="preserve"> Báo cáo hoá c</w:t>
      </w:r>
      <w:r w:rsidRPr="00B9725E">
        <w:rPr>
          <w:rFonts w:eastAsia="Times New Roman" w:cs="Times New Roman"/>
          <w:sz w:val="28"/>
          <w:szCs w:val="28"/>
        </w:rPr>
        <w:t>hất Bảng, hoá chất DOC, DOC-PSF;</w:t>
      </w:r>
      <w:r w:rsidRPr="00D25875">
        <w:rPr>
          <w:rFonts w:eastAsia="Times New Roman" w:cs="Times New Roman"/>
          <w:sz w:val="28"/>
          <w:szCs w:val="28"/>
        </w:rPr>
        <w:t xml:space="preserve"> Các quy định về t</w:t>
      </w:r>
      <w:r w:rsidRPr="00B9725E">
        <w:rPr>
          <w:rFonts w:eastAsia="Times New Roman" w:cs="Times New Roman"/>
          <w:sz w:val="28"/>
          <w:szCs w:val="28"/>
        </w:rPr>
        <w:t xml:space="preserve">hanh sát và thanh tra, kiểm tra; </w:t>
      </w:r>
      <w:r w:rsidRPr="00D25875">
        <w:rPr>
          <w:rFonts w:eastAsia="Times New Roman" w:cs="Times New Roman"/>
          <w:sz w:val="28"/>
          <w:szCs w:val="28"/>
        </w:rPr>
        <w:t>Quản lý nhà nước về hoá chất Bảng, hoá chất DOC, DOC-PSF.</w:t>
      </w:r>
    </w:p>
    <w:p w:rsidR="00D25875" w:rsidRPr="00D25875" w:rsidRDefault="00D25875" w:rsidP="00FB2E36">
      <w:pPr>
        <w:shd w:val="clear" w:color="auto" w:fill="FFFFFF"/>
        <w:spacing w:before="120" w:after="0" w:line="340" w:lineRule="exact"/>
        <w:ind w:firstLine="720"/>
        <w:jc w:val="both"/>
        <w:rPr>
          <w:rFonts w:eastAsia="Times New Roman" w:cs="Times New Roman"/>
          <w:sz w:val="28"/>
          <w:szCs w:val="28"/>
        </w:rPr>
      </w:pPr>
      <w:r w:rsidRPr="00D25875">
        <w:rPr>
          <w:rFonts w:eastAsia="Times New Roman" w:cs="Times New Roman"/>
          <w:sz w:val="28"/>
          <w:szCs w:val="28"/>
        </w:rPr>
        <w:t>Nghị định này áp dụng đối với tổ chức, cá nhân tham gia hoặc liên quan đến các hoạt động thực hiện Công ước cấm vũ khí hóa học trên lãnh thổ nước Cộng hoà xã hội chủ nghĩa Việt Nam.</w:t>
      </w:r>
    </w:p>
    <w:p w:rsidR="00D25875" w:rsidRPr="00D25875" w:rsidRDefault="00D25875" w:rsidP="00FB2E36">
      <w:pPr>
        <w:shd w:val="clear" w:color="auto" w:fill="FFFFFF"/>
        <w:spacing w:before="120" w:after="0" w:line="340" w:lineRule="exact"/>
        <w:ind w:firstLine="720"/>
        <w:jc w:val="both"/>
        <w:rPr>
          <w:rFonts w:eastAsia="Times New Roman" w:cs="Times New Roman"/>
          <w:sz w:val="28"/>
          <w:szCs w:val="28"/>
        </w:rPr>
      </w:pPr>
      <w:r w:rsidRPr="00D25875">
        <w:rPr>
          <w:rFonts w:eastAsia="Times New Roman" w:cs="Times New Roman"/>
          <w:sz w:val="28"/>
          <w:szCs w:val="28"/>
        </w:rPr>
        <w:t>Các hoạt động thực hiện Công ước cấm vũ khí hóa học được áp dụng theo quy định của Nghị định này và các quy định khác của pháp luật có liên quan.</w:t>
      </w:r>
    </w:p>
    <w:p w:rsidR="00D25875" w:rsidRPr="00B9725E" w:rsidRDefault="00D25875" w:rsidP="00FB2E36">
      <w:pPr>
        <w:shd w:val="clear" w:color="auto" w:fill="FFFFFF"/>
        <w:spacing w:before="120" w:after="0" w:line="340" w:lineRule="exact"/>
        <w:ind w:firstLine="720"/>
        <w:jc w:val="both"/>
        <w:rPr>
          <w:rFonts w:eastAsia="Times New Roman" w:cs="Times New Roman"/>
          <w:sz w:val="28"/>
          <w:szCs w:val="28"/>
        </w:rPr>
      </w:pPr>
      <w:r w:rsidRPr="00D25875">
        <w:rPr>
          <w:rFonts w:eastAsia="Times New Roman" w:cs="Times New Roman"/>
          <w:sz w:val="28"/>
          <w:szCs w:val="28"/>
        </w:rPr>
        <w:t>Các hành vi bị cấm và các mục đích không bị cấm áp dụng theo khoản 1 Điều 1 và khoản 9 Điều 2 Công ước cấm vũ khí hóa học.</w:t>
      </w:r>
    </w:p>
    <w:p w:rsidR="00D25875" w:rsidRPr="00D25875" w:rsidRDefault="00D25875" w:rsidP="00FB2E36">
      <w:pPr>
        <w:shd w:val="clear" w:color="auto" w:fill="FFFFFF"/>
        <w:spacing w:before="120" w:after="0" w:line="340" w:lineRule="exact"/>
        <w:ind w:firstLine="720"/>
        <w:jc w:val="both"/>
        <w:rPr>
          <w:rFonts w:eastAsia="Times New Roman" w:cs="Times New Roman"/>
          <w:sz w:val="28"/>
          <w:szCs w:val="28"/>
        </w:rPr>
      </w:pPr>
      <w:r w:rsidRPr="00D25875">
        <w:rPr>
          <w:rFonts w:eastAsia="Times New Roman" w:cs="Times New Roman"/>
          <w:sz w:val="28"/>
          <w:szCs w:val="28"/>
        </w:rPr>
        <w:t>Cục Hóa chất (Bộ Công Thương) được chỉ định là Cơ quan quốc gia Việt Nam thực hiện Công ước Cấm vũ khí hóa học, đầu mối liên hệ giữa Việt Nam với Tổ chức Công ước và với các Quốc gia thành viên khác theo quy đị</w:t>
      </w:r>
      <w:r w:rsidRPr="00B9725E">
        <w:rPr>
          <w:rFonts w:eastAsia="Times New Roman" w:cs="Times New Roman"/>
          <w:sz w:val="28"/>
          <w:szCs w:val="28"/>
        </w:rPr>
        <w:t>nh tại khoản 4 Điều 7 Công ước.</w:t>
      </w:r>
    </w:p>
    <w:p w:rsidR="00D25875" w:rsidRPr="00B9725E" w:rsidRDefault="002466F7" w:rsidP="00FB2E36">
      <w:pPr>
        <w:pStyle w:val="normalpara"/>
        <w:spacing w:before="120" w:beforeAutospacing="0" w:after="0" w:afterAutospacing="0" w:line="340" w:lineRule="exact"/>
        <w:ind w:firstLine="720"/>
        <w:jc w:val="both"/>
        <w:rPr>
          <w:sz w:val="28"/>
          <w:szCs w:val="28"/>
        </w:rPr>
      </w:pPr>
      <w:r w:rsidRPr="00B9725E">
        <w:rPr>
          <w:sz w:val="28"/>
          <w:szCs w:val="28"/>
        </w:rPr>
        <w:t>Nghị định này có hiệu lực thi hành kể từ ngày 19/5/2024.</w:t>
      </w:r>
    </w:p>
    <w:p w:rsidR="002466F7" w:rsidRPr="00B9725E" w:rsidRDefault="002466F7" w:rsidP="00FB2E36">
      <w:pPr>
        <w:shd w:val="clear" w:color="auto" w:fill="FFFFFF"/>
        <w:spacing w:before="120" w:after="0" w:line="340" w:lineRule="exact"/>
        <w:ind w:firstLine="720"/>
        <w:jc w:val="both"/>
        <w:rPr>
          <w:rFonts w:eastAsia="Times New Roman" w:cs="Times New Roman"/>
          <w:b/>
          <w:bCs/>
          <w:iCs/>
          <w:sz w:val="28"/>
          <w:szCs w:val="28"/>
        </w:rPr>
      </w:pPr>
      <w:r w:rsidRPr="00B9725E">
        <w:rPr>
          <w:rFonts w:eastAsia="Times New Roman" w:cs="Times New Roman"/>
          <w:b/>
          <w:bCs/>
          <w:iCs/>
          <w:sz w:val="28"/>
          <w:szCs w:val="28"/>
        </w:rPr>
        <w:t>Quy định danh mục hàng hóa nguy hiểm, vận chuyển hàng hóa nguy hiểm bằng phương tiện giao thông cơ giới đường bộ và phương tiện thủy nội địa</w:t>
      </w:r>
    </w:p>
    <w:p w:rsidR="002466F7" w:rsidRPr="002466F7" w:rsidRDefault="002466F7" w:rsidP="00FB2E36">
      <w:pPr>
        <w:shd w:val="clear" w:color="auto" w:fill="FFFFFF"/>
        <w:spacing w:before="120" w:after="0" w:line="340" w:lineRule="exact"/>
        <w:ind w:firstLine="720"/>
        <w:jc w:val="both"/>
        <w:rPr>
          <w:rFonts w:eastAsia="Times New Roman" w:cs="Times New Roman"/>
          <w:sz w:val="28"/>
          <w:szCs w:val="28"/>
        </w:rPr>
      </w:pPr>
      <w:r w:rsidRPr="00B9725E">
        <w:rPr>
          <w:rFonts w:eastAsia="Times New Roman" w:cs="Times New Roman"/>
          <w:bCs/>
          <w:iCs/>
          <w:sz w:val="28"/>
          <w:szCs w:val="28"/>
        </w:rPr>
        <w:t xml:space="preserve">Nghị định 34/2024/NĐ-CP ngày 31/3/2024 quy định danh mục hàng hóa nguy hiểm, vận chuyển hàng hóa nguy hiểm bằng phương tiện giao thông cơ giới đường </w:t>
      </w:r>
      <w:r w:rsidRPr="00B9725E">
        <w:rPr>
          <w:rFonts w:eastAsia="Times New Roman" w:cs="Times New Roman"/>
          <w:bCs/>
          <w:iCs/>
          <w:sz w:val="28"/>
          <w:szCs w:val="28"/>
        </w:rPr>
        <w:lastRenderedPageBreak/>
        <w:t>bộ và phương tiện thủy nội địa</w:t>
      </w:r>
      <w:r w:rsidRPr="00B9725E">
        <w:rPr>
          <w:rFonts w:eastAsia="Times New Roman" w:cs="Times New Roman"/>
          <w:b/>
          <w:bCs/>
          <w:i/>
          <w:iCs/>
          <w:sz w:val="28"/>
          <w:szCs w:val="28"/>
        </w:rPr>
        <w:t xml:space="preserve"> </w:t>
      </w:r>
      <w:r w:rsidRPr="002466F7">
        <w:rPr>
          <w:rFonts w:eastAsia="Times New Roman" w:cs="Times New Roman"/>
          <w:sz w:val="28"/>
          <w:szCs w:val="28"/>
        </w:rPr>
        <w:t>quy định người điều khiển phương tiện vận chuyển hàng hóa nguy hiểm phải đảm bảo có đủ các điều kiện điều khiển phương tiện và được huấn luyện, cấp giấy chứng nhận đã hoàn thành chương trình huấn luyện an toàn hàng hóa nguy hiểm theo quy định tại Nghị định này.</w:t>
      </w:r>
    </w:p>
    <w:p w:rsidR="002466F7" w:rsidRPr="002466F7" w:rsidRDefault="002466F7" w:rsidP="00FB2E36">
      <w:pPr>
        <w:shd w:val="clear" w:color="auto" w:fill="FFFFFF"/>
        <w:spacing w:before="120" w:after="0" w:line="340" w:lineRule="exact"/>
        <w:ind w:firstLine="720"/>
        <w:jc w:val="both"/>
        <w:rPr>
          <w:rFonts w:eastAsia="Times New Roman" w:cs="Times New Roman"/>
          <w:sz w:val="28"/>
          <w:szCs w:val="28"/>
        </w:rPr>
      </w:pPr>
      <w:r w:rsidRPr="002466F7">
        <w:rPr>
          <w:rFonts w:eastAsia="Times New Roman" w:cs="Times New Roman"/>
          <w:sz w:val="28"/>
          <w:szCs w:val="28"/>
        </w:rPr>
        <w:t>Người áp tải, người thủ kho, người xếp dỡ hàng hóa nguy hiểm phải được huấn luyện an toàn và cấp giấy chứng nhận đã hoàn thành chương trình huấn luyện an toàn về loại hàng hóa nguy hiểm do mình áp tải, xếp, dỡ hoặc lưu kho.</w:t>
      </w:r>
    </w:p>
    <w:p w:rsidR="002466F7" w:rsidRPr="002466F7" w:rsidRDefault="002466F7" w:rsidP="00FB2E36">
      <w:pPr>
        <w:shd w:val="clear" w:color="auto" w:fill="FFFFFF"/>
        <w:spacing w:before="120" w:after="0" w:line="340" w:lineRule="exact"/>
        <w:ind w:firstLine="720"/>
        <w:jc w:val="both"/>
        <w:rPr>
          <w:rFonts w:eastAsia="Times New Roman" w:cs="Times New Roman"/>
          <w:sz w:val="28"/>
          <w:szCs w:val="28"/>
        </w:rPr>
      </w:pPr>
      <w:r w:rsidRPr="002466F7">
        <w:rPr>
          <w:rFonts w:eastAsia="Times New Roman" w:cs="Times New Roman"/>
          <w:sz w:val="28"/>
          <w:szCs w:val="28"/>
        </w:rPr>
        <w:t>Nghị định quy định phương tiện vận chuyển phải đủ điều kiện tham gia giao thông theo quy định của pháp luật. Thiết bị chuyên dùng của phương tiện vận chuyển hàng hóa nguy hiểm phải bảo đảm tiêu chuẩn quốc gia hoặc quy chuẩn kỹ thuật quốc gia hoặc theo quy định của Bộ quản lý chuyên ngành.</w:t>
      </w:r>
      <w:r w:rsidRPr="00B9725E">
        <w:rPr>
          <w:rFonts w:eastAsia="Times New Roman" w:cs="Times New Roman"/>
          <w:sz w:val="28"/>
          <w:szCs w:val="28"/>
        </w:rPr>
        <w:t xml:space="preserve"> </w:t>
      </w:r>
      <w:r w:rsidRPr="002466F7">
        <w:rPr>
          <w:rFonts w:eastAsia="Times New Roman" w:cs="Times New Roman"/>
          <w:sz w:val="28"/>
          <w:szCs w:val="28"/>
        </w:rPr>
        <w:t>Phương tiện vận chuyển hàng hóa nguy hiểm phải dán biểu trưng hàng hóa nguy hiểm. Nếu trên một phương tiện có nhiều loại hàng hóa nguy hiểm khác nhau thì phương tiện phải dán đủ biểu trưng của các loại hàng hóa đó. Vị trí dán biểu trưng ở hai bên, phía trước và phía sau của phương tiện đảm bảo dễ quan sát, nhận biết.</w:t>
      </w:r>
      <w:r w:rsidRPr="00B9725E">
        <w:rPr>
          <w:rFonts w:eastAsia="Times New Roman" w:cs="Times New Roman"/>
          <w:sz w:val="28"/>
          <w:szCs w:val="28"/>
        </w:rPr>
        <w:t xml:space="preserve"> </w:t>
      </w:r>
      <w:r w:rsidRPr="002466F7">
        <w:rPr>
          <w:rFonts w:eastAsia="Times New Roman" w:cs="Times New Roman"/>
          <w:sz w:val="28"/>
          <w:szCs w:val="28"/>
        </w:rPr>
        <w:t>Phương tiện vận chuyển hàng hóa nguy hiểm, sau khi dỡ hết hàng hóa nguy hiểm nếu không tiếp tục vận tải loại hàng hóa đó thì phải được làm sạch và bóc hoặc xóa biểu trưng nguy hiểm trên phương tiện vận chuyển hàng hóa nguy hiểm. Đơn vị vận tải, người điều khiển phương tiện có trách nhiệm làm sạch và bóc hoặc xóa biểu trưng nguy hiểm trên phương tiện khi không tiếp tục vận chuyển loại hàng hóa nguy hiểm đó.</w:t>
      </w:r>
    </w:p>
    <w:p w:rsidR="002466F7" w:rsidRPr="002466F7" w:rsidRDefault="002466F7" w:rsidP="00FB2E36">
      <w:pPr>
        <w:shd w:val="clear" w:color="auto" w:fill="FFFFFF"/>
        <w:spacing w:before="120" w:after="0" w:line="340" w:lineRule="exact"/>
        <w:ind w:firstLine="720"/>
        <w:jc w:val="both"/>
        <w:rPr>
          <w:rFonts w:eastAsia="Times New Roman" w:cs="Times New Roman"/>
          <w:sz w:val="28"/>
          <w:szCs w:val="28"/>
        </w:rPr>
      </w:pPr>
      <w:r w:rsidRPr="002466F7">
        <w:rPr>
          <w:rFonts w:eastAsia="Times New Roman" w:cs="Times New Roman"/>
          <w:sz w:val="28"/>
          <w:szCs w:val="28"/>
        </w:rPr>
        <w:t>Nghị định nêu rõ tổ chức, cá nhân liên quan đến việc xếp, dỡ hàng hóa nguy hiểm trên phương tiện vận chuyển và lưu kho, bãi phải tuân thủ đúng chỉ dẫn về bảo quản, xếp, dỡ, vận chuyển của từng loại hàng hóa nguy hiểm hoặc trong thông báo của người thuê vận tải.</w:t>
      </w:r>
      <w:r w:rsidRPr="00B9725E">
        <w:rPr>
          <w:rFonts w:eastAsia="Times New Roman" w:cs="Times New Roman"/>
          <w:sz w:val="28"/>
          <w:szCs w:val="28"/>
        </w:rPr>
        <w:t xml:space="preserve"> </w:t>
      </w:r>
      <w:r w:rsidRPr="002466F7">
        <w:rPr>
          <w:rFonts w:eastAsia="Times New Roman" w:cs="Times New Roman"/>
          <w:sz w:val="28"/>
          <w:szCs w:val="28"/>
        </w:rPr>
        <w:t>Việc xếp, dỡ hàng hóa nguy hiểm phải do người thủ kho, người thuê vận tải hoặc người áp tải trực tiếp hướng dẫn và giám sát. Không xếp chung các loại hàng hóa có thể tác động lẫn nhau làm tăng mức độ nguy hiểm trong cùng một phương tiện. Đối với loại, nhóm hàng hóa nguy hiểm quy định phải xếp, dỡ, lưu giữ ở nơi riêng biệt thì việc xếp, dỡ phải thực hiện tại khu vực kho, bến bãi riêng biệt.</w:t>
      </w:r>
      <w:r w:rsidRPr="00B9725E">
        <w:rPr>
          <w:rFonts w:eastAsia="Times New Roman" w:cs="Times New Roman"/>
          <w:sz w:val="28"/>
          <w:szCs w:val="28"/>
        </w:rPr>
        <w:t xml:space="preserve"> </w:t>
      </w:r>
      <w:r w:rsidRPr="002466F7">
        <w:rPr>
          <w:rFonts w:eastAsia="Times New Roman" w:cs="Times New Roman"/>
          <w:sz w:val="28"/>
          <w:szCs w:val="28"/>
        </w:rPr>
        <w:t>Trường hợp vận chuyển hàng hóa nguy hiểm không quy định phải có người áp tải thì người vận tải phải thực hiện xếp, dỡ hàng hóa theo chỉ dẫn của người thuê vận tải.</w:t>
      </w:r>
      <w:r w:rsidRPr="00B9725E">
        <w:rPr>
          <w:rFonts w:eastAsia="Times New Roman" w:cs="Times New Roman"/>
          <w:sz w:val="28"/>
          <w:szCs w:val="28"/>
        </w:rPr>
        <w:t xml:space="preserve"> </w:t>
      </w:r>
      <w:r w:rsidRPr="002466F7">
        <w:rPr>
          <w:rFonts w:eastAsia="Times New Roman" w:cs="Times New Roman"/>
          <w:sz w:val="28"/>
          <w:szCs w:val="28"/>
        </w:rPr>
        <w:t>Sau khi đưa hết hàng hóa nguy hiểm ra khỏi kho, bãi thì nơi lưu giữ hàng hóa nguy hiểm phải được làm sạch để không ảnh hưởng tới hàng hóa khác.</w:t>
      </w:r>
    </w:p>
    <w:p w:rsidR="002466F7" w:rsidRPr="00B9725E" w:rsidRDefault="002466F7" w:rsidP="00FB2E36">
      <w:pPr>
        <w:shd w:val="clear" w:color="auto" w:fill="FFFFFF"/>
        <w:spacing w:before="120" w:after="0" w:line="340" w:lineRule="exact"/>
        <w:ind w:firstLine="720"/>
        <w:jc w:val="both"/>
        <w:rPr>
          <w:rFonts w:eastAsia="Times New Roman" w:cs="Times New Roman"/>
          <w:sz w:val="28"/>
          <w:szCs w:val="28"/>
        </w:rPr>
      </w:pPr>
      <w:r w:rsidRPr="002466F7">
        <w:rPr>
          <w:rFonts w:eastAsia="Times New Roman" w:cs="Times New Roman"/>
          <w:sz w:val="28"/>
          <w:szCs w:val="28"/>
        </w:rPr>
        <w:t>Không được vận chuyển các loại thuốc nổ, khí đốt, xăng, dầu và các chất dễ cháy, nổ, chất rắn khử nhạy khác đi qua các công trình hầm</w:t>
      </w:r>
      <w:r w:rsidRPr="00B9725E">
        <w:rPr>
          <w:rFonts w:eastAsia="Times New Roman" w:cs="Times New Roman"/>
          <w:sz w:val="28"/>
          <w:szCs w:val="28"/>
        </w:rPr>
        <w:t xml:space="preserve"> có chiều dài từ 100m trở lên. </w:t>
      </w:r>
      <w:r w:rsidRPr="002466F7">
        <w:rPr>
          <w:rFonts w:eastAsia="Times New Roman" w:cs="Times New Roman"/>
          <w:sz w:val="28"/>
          <w:szCs w:val="28"/>
        </w:rPr>
        <w:t xml:space="preserve">Không được vận chuyển đồng thời người (người tham gia giao thông hoặc hành khách) cùng phương tiện (đã được cấp phép vận chuyển hàng hóa nguy hiểm) đang thực hiện vận chuyển các loại thuốc nổ, khí ga, xăng, dầu và các chất dễ cháy, nổ </w:t>
      </w:r>
      <w:r w:rsidRPr="00B9725E">
        <w:rPr>
          <w:rFonts w:eastAsia="Times New Roman" w:cs="Times New Roman"/>
          <w:sz w:val="28"/>
          <w:szCs w:val="28"/>
        </w:rPr>
        <w:t>khác trên cùng một chuyến phà.</w:t>
      </w:r>
    </w:p>
    <w:p w:rsidR="002466F7" w:rsidRPr="00B9725E" w:rsidRDefault="002466F7" w:rsidP="00FB2E36">
      <w:pPr>
        <w:shd w:val="clear" w:color="auto" w:fill="FFFFFF"/>
        <w:spacing w:before="120" w:after="0" w:line="340" w:lineRule="exact"/>
        <w:ind w:firstLine="720"/>
        <w:jc w:val="both"/>
        <w:rPr>
          <w:rFonts w:eastAsia="Times New Roman" w:cs="Times New Roman"/>
          <w:sz w:val="28"/>
          <w:szCs w:val="28"/>
        </w:rPr>
      </w:pPr>
      <w:r w:rsidRPr="002466F7">
        <w:rPr>
          <w:rFonts w:eastAsia="Times New Roman" w:cs="Times New Roman"/>
          <w:sz w:val="28"/>
          <w:szCs w:val="28"/>
        </w:rPr>
        <w:lastRenderedPageBreak/>
        <w:t>Nghị định 34/2024/NĐ-CP quy định rõ trách nhiệm của UBND các tỉnh, thành phố trực thuộc trung ương. Cụ thể, quản lý hoạt động vận chuyển hàng nguy hiểm và tổ chức thực hiện cấp Giấy phép vận chuyển hàng hóa nguy hiểm là hóa chất bảo vệ thực vật theo quy định của Nghị định này.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w:t>
      </w:r>
      <w:r w:rsidRPr="00B9725E">
        <w:rPr>
          <w:rFonts w:eastAsia="Times New Roman" w:cs="Times New Roman"/>
          <w:sz w:val="28"/>
          <w:szCs w:val="28"/>
        </w:rPr>
        <w:t xml:space="preserve">ểm là hóa chất bảo vệ thực vật. </w:t>
      </w:r>
      <w:r w:rsidRPr="002466F7">
        <w:rPr>
          <w:rFonts w:eastAsia="Times New Roman" w:cs="Times New Roman"/>
          <w:sz w:val="28"/>
          <w:szCs w:val="28"/>
        </w:rPr>
        <w:t>Chỉ đạo UBND cấp huyện, xã khi xảy ra sự cố trong quá trình vận chuyển hàng hóa nguy hiểm trên địa bàn quản lý, phải thực hiện các nội dung sau: giúp người điều khiển phương tiện và người áp tải (nếu có) trong việc cứu người, cứu hàng, cứu phương tiện; đưa nạn nhân ra khỏi khu vực có sự cố, tổ chức cấp cứu nạn nhân; tổ chức bảo vệ hàng hóa, phương tiện để tiếp tục vận chuyển hoặc lưu kho, bãi, chuyển tải theo hướng dẫn của cơ quan có thẩm quyền; khoanh vùng, sơ tán dân cư ra khỏi khu vực ảnh hưởng nguy hiểm, đồng thời báo cáo UBND cấp trên và cơ quan hữu quan khác để huy động các lực lượng</w:t>
      </w:r>
      <w:r w:rsidRPr="00B9725E">
        <w:rPr>
          <w:rFonts w:eastAsia="Times New Roman" w:cs="Times New Roman"/>
          <w:sz w:val="28"/>
          <w:szCs w:val="28"/>
        </w:rPr>
        <w:t xml:space="preserve"> cần thiết đến xử lý kịp thời.</w:t>
      </w:r>
    </w:p>
    <w:p w:rsidR="002466F7" w:rsidRPr="002466F7" w:rsidRDefault="002466F7" w:rsidP="00FB2E36">
      <w:pPr>
        <w:shd w:val="clear" w:color="auto" w:fill="FFFFFF"/>
        <w:spacing w:before="120" w:after="0" w:line="340" w:lineRule="exact"/>
        <w:ind w:firstLine="720"/>
        <w:jc w:val="both"/>
        <w:rPr>
          <w:rFonts w:eastAsia="Times New Roman" w:cs="Times New Roman"/>
          <w:sz w:val="28"/>
          <w:szCs w:val="28"/>
        </w:rPr>
      </w:pPr>
    </w:p>
    <w:p w:rsidR="002466F7" w:rsidRPr="00B9725E" w:rsidRDefault="000A7E99" w:rsidP="00FB2E36">
      <w:pPr>
        <w:pStyle w:val="normalpara"/>
        <w:spacing w:before="120" w:beforeAutospacing="0" w:after="0" w:afterAutospacing="0" w:line="340" w:lineRule="exact"/>
        <w:ind w:firstLine="720"/>
        <w:jc w:val="both"/>
        <w:rPr>
          <w:b/>
          <w:sz w:val="28"/>
          <w:szCs w:val="28"/>
        </w:rPr>
      </w:pPr>
      <w:r w:rsidRPr="00B9725E">
        <w:rPr>
          <w:b/>
          <w:sz w:val="28"/>
          <w:szCs w:val="28"/>
        </w:rPr>
        <w:t>Quy định về xét tặng danh hiệu “Nhà giáo nhân dân”, “Nhà giáo ưu tú”</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pacing w:val="-2"/>
          <w:sz w:val="28"/>
          <w:szCs w:val="28"/>
        </w:rPr>
        <w:t>Nghị định số 35/2024/NĐ-CP quy định các thành tích để xét tặng danh hiệu NGND, NGƯT phải đạt được trong thời gian công tác trong ngành Giáo dục</w:t>
      </w:r>
      <w:r w:rsidRPr="00B9725E">
        <w:rPr>
          <w:rStyle w:val="colorblack1"/>
          <w:sz w:val="28"/>
          <w:szCs w:val="28"/>
        </w:rPr>
        <w:t>; </w:t>
      </w:r>
      <w:r w:rsidRPr="00B9725E">
        <w:rPr>
          <w:rStyle w:val="colorblack1"/>
          <w:spacing w:val="-2"/>
          <w:sz w:val="28"/>
          <w:szCs w:val="28"/>
        </w:rPr>
        <w:t>không sử dụng thành tích đã được xét tặng các danh hiệu vinh dự Nhà nước để xét tặng danh hiệu NGND, NGƯT. </w:t>
      </w:r>
      <w:r w:rsidRPr="00B9725E">
        <w:rPr>
          <w:rStyle w:val="colorblack1"/>
          <w:sz w:val="28"/>
          <w:szCs w:val="28"/>
        </w:rPr>
        <w:t>Cá nhân được hưởng lương và bình xét thi đua, khen thưởng hàng năm tại đơn vị nào thì đề nghị xét tặng danh hiệu NGND, NGƯT tại đơn vị đó.</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shd w:val="clear" w:color="auto" w:fill="FFFFFF"/>
        </w:rPr>
        <w:t>Cán bộ quản lý tại cơ sở giáo dục trong thời gian giữ chức vụ quản lý, có tham gia nuôi dạy, giảng dạy đủ định mức tối thiểu theo quy định thì được tính thời gian trực tiếp nuôi dạy, giảng dạy và được quy đổi theo các mức cụ thể.  </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C</w:t>
      </w:r>
      <w:r w:rsidRPr="00B9725E">
        <w:rPr>
          <w:rStyle w:val="colorblack1"/>
          <w:spacing w:val="-2"/>
          <w:sz w:val="28"/>
          <w:szCs w:val="28"/>
        </w:rPr>
        <w:t>ăn cứ trên chức năng, nhiệm vụ, đặc điểm của từng đối tượng, loại hình cơ sở giáo dục có tính chất tương đồng, Nghị định số 35/2024/NĐ-CP chia thành 7 nhóm đối tượng thống nhất ở cả tiêu chuẩn NGND và tiêu chuẩn NGƯT để xây dựng tiêu chuẩn theo 07 nhóm đối tượng, </w:t>
      </w:r>
      <w:r w:rsidRPr="00B9725E">
        <w:rPr>
          <w:rStyle w:val="colorblack1"/>
          <w:sz w:val="28"/>
          <w:szCs w:val="28"/>
        </w:rPr>
        <w:t>tạo sự mạch lạc trong văn bản cũng như sự tôn vinh của cấp học, bậc học đó và thuận lợi cho các cơ sở giáo dục khi triển khai thực hiện Nghị định.</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Cụ thể 07 nhóm gồm: Nhà giáo, cán bộ quản lý tại các cơ sở giáo dục mầm non; Nhà giáo, cán bộ quản lý tại các cơ sở giáo dục phổ thông, cơ sở giáo dục thường xuyên,</w:t>
      </w:r>
      <w:r w:rsidRPr="00B9725E">
        <w:rPr>
          <w:rStyle w:val="colorblack1"/>
          <w:sz w:val="28"/>
          <w:szCs w:val="28"/>
          <w:lang w:val="vi-VN"/>
        </w:rPr>
        <w:t> trường </w:t>
      </w:r>
      <w:r w:rsidRPr="00B9725E">
        <w:rPr>
          <w:rStyle w:val="colorblack1"/>
          <w:sz w:val="28"/>
          <w:szCs w:val="28"/>
        </w:rPr>
        <w:t>phổ thông dân tộc nội trú, trường phổ thông dân tộc bán trú, </w:t>
      </w:r>
      <w:r w:rsidRPr="00B9725E">
        <w:rPr>
          <w:rStyle w:val="colorblack1"/>
          <w:sz w:val="28"/>
          <w:szCs w:val="28"/>
          <w:lang w:val="vi-VN"/>
        </w:rPr>
        <w:t>trường giáo dưỡng</w:t>
      </w:r>
      <w:r w:rsidRPr="00B9725E">
        <w:rPr>
          <w:rStyle w:val="colorblack1"/>
          <w:sz w:val="28"/>
          <w:szCs w:val="28"/>
        </w:rPr>
        <w:t>, trường năng khiếu, trường dự bị đại học, trung tâm</w:t>
      </w:r>
      <w:r w:rsidRPr="00B9725E">
        <w:rPr>
          <w:rStyle w:val="colorblack1"/>
          <w:sz w:val="28"/>
          <w:szCs w:val="28"/>
          <w:lang w:val="vi-VN"/>
        </w:rPr>
        <w:t> giáo dục nghề nghiệp</w:t>
      </w:r>
      <w:r w:rsidRPr="00B9725E">
        <w:rPr>
          <w:rStyle w:val="colorblack1"/>
          <w:sz w:val="28"/>
          <w:szCs w:val="28"/>
        </w:rPr>
        <w:t>, trường trung cấp; Nhà giáo, cán bộ quản lý tại các trường cao đẳng, trung tâm chính trị cấp huyện, </w:t>
      </w:r>
      <w:r w:rsidRPr="00B9725E">
        <w:rPr>
          <w:rStyle w:val="colorblack1"/>
          <w:sz w:val="28"/>
          <w:szCs w:val="28"/>
          <w:lang w:val="vi-VN"/>
        </w:rPr>
        <w:t xml:space="preserve">trường chính trị tỉnh, cơ sở bồi dưỡng cán bộ, công chức, </w:t>
      </w:r>
      <w:r w:rsidRPr="00B9725E">
        <w:rPr>
          <w:rStyle w:val="colorblack1"/>
          <w:sz w:val="28"/>
          <w:szCs w:val="28"/>
          <w:lang w:val="vi-VN"/>
        </w:rPr>
        <w:lastRenderedPageBreak/>
        <w:t>viên chức của các </w:t>
      </w:r>
      <w:r w:rsidRPr="00B9725E">
        <w:rPr>
          <w:rStyle w:val="colorblack1"/>
          <w:sz w:val="28"/>
          <w:szCs w:val="28"/>
        </w:rPr>
        <w:t>b</w:t>
      </w:r>
      <w:r w:rsidRPr="00B9725E">
        <w:rPr>
          <w:rStyle w:val="colorblack1"/>
          <w:sz w:val="28"/>
          <w:szCs w:val="28"/>
          <w:lang w:val="vi-VN"/>
        </w:rPr>
        <w:t>ộ</w:t>
      </w:r>
      <w:r w:rsidRPr="00B9725E">
        <w:rPr>
          <w:rStyle w:val="colorblack1"/>
          <w:sz w:val="28"/>
          <w:szCs w:val="28"/>
        </w:rPr>
        <w:t>, ban, ngành; Nhà giáo, cán bộ quản lý tại các </w:t>
      </w:r>
      <w:r w:rsidRPr="00B9725E">
        <w:rPr>
          <w:rStyle w:val="colorblack1"/>
          <w:sz w:val="28"/>
          <w:szCs w:val="28"/>
          <w:lang w:val="vi-VN"/>
        </w:rPr>
        <w:t>cơ sở giáo dục đại học</w:t>
      </w:r>
      <w:r w:rsidRPr="00B9725E">
        <w:rPr>
          <w:rStyle w:val="colorblack1"/>
          <w:sz w:val="28"/>
          <w:szCs w:val="28"/>
        </w:rPr>
        <w:t>, cán bộ nghiên cứu giáo dục; </w:t>
      </w:r>
      <w:r w:rsidRPr="00B9725E">
        <w:rPr>
          <w:rStyle w:val="colorblack1"/>
          <w:sz w:val="28"/>
          <w:szCs w:val="28"/>
          <w:lang w:val="vi-VN"/>
        </w:rPr>
        <w:t>Cán bộ quản lý </w:t>
      </w:r>
      <w:r w:rsidRPr="00B9725E">
        <w:rPr>
          <w:rStyle w:val="colorblack1"/>
          <w:sz w:val="28"/>
          <w:szCs w:val="28"/>
        </w:rPr>
        <w:t>tại cơ quan quản lý </w:t>
      </w:r>
      <w:r w:rsidRPr="00B9725E">
        <w:rPr>
          <w:rStyle w:val="colorblack1"/>
          <w:sz w:val="28"/>
          <w:szCs w:val="28"/>
          <w:lang w:val="vi-VN"/>
        </w:rPr>
        <w:t>giáo dục</w:t>
      </w:r>
      <w:r w:rsidRPr="00B9725E">
        <w:rPr>
          <w:rStyle w:val="colorblack1"/>
          <w:sz w:val="28"/>
          <w:szCs w:val="28"/>
        </w:rPr>
        <w:t> cấp phòng, cấp sở; </w:t>
      </w:r>
      <w:r w:rsidRPr="00B9725E">
        <w:rPr>
          <w:rStyle w:val="colorblack1"/>
          <w:sz w:val="28"/>
          <w:szCs w:val="28"/>
          <w:lang w:val="vi-VN"/>
        </w:rPr>
        <w:t>Cán bộ</w:t>
      </w:r>
      <w:r w:rsidRPr="00B9725E">
        <w:rPr>
          <w:rStyle w:val="colorblack1"/>
          <w:sz w:val="28"/>
          <w:szCs w:val="28"/>
        </w:rPr>
        <w:t> </w:t>
      </w:r>
      <w:r w:rsidRPr="00B9725E">
        <w:rPr>
          <w:rStyle w:val="colorblack1"/>
          <w:sz w:val="28"/>
          <w:szCs w:val="28"/>
          <w:lang w:val="vi-VN"/>
        </w:rPr>
        <w:t>quản lý </w:t>
      </w:r>
      <w:r w:rsidRPr="00B9725E">
        <w:rPr>
          <w:rStyle w:val="colorblack1"/>
          <w:sz w:val="28"/>
          <w:szCs w:val="28"/>
        </w:rPr>
        <w:t>tại cơ quan quản lý </w:t>
      </w:r>
      <w:r w:rsidRPr="00B9725E">
        <w:rPr>
          <w:rStyle w:val="colorblack1"/>
          <w:sz w:val="28"/>
          <w:szCs w:val="28"/>
          <w:lang w:val="vi-VN"/>
        </w:rPr>
        <w:t>giáo dục</w:t>
      </w:r>
      <w:r w:rsidRPr="00B9725E">
        <w:rPr>
          <w:rStyle w:val="colorblack1"/>
          <w:sz w:val="28"/>
          <w:szCs w:val="28"/>
        </w:rPr>
        <w:t> cấp tổng cục, bộ, ban, ngành; Nhà giáo, cán bộ quản lý tại cơ sở giáo dục đang công tác từ 05 năm trở lên ở vùng có điều kiện kinh tế - xã hội đặc biệt khó khăn hoặc trường, lớp dành cho người khuyết tật, trung tâm hỗ trợ phát triển giáo dục hòa nhập.   </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Một điểm mới đặc biệt trong Nghị định số 35/2024/NĐ-CP là xây dựng tiêu chuẩn cho nhóm đối tượng đặc thù theo quy định của Luật Thi đua, khen thưởng năm 2022.</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Cụ thể, thời gian công tác ở địa bàn biên giới, trên biển, hải đảo, vùng có điều kiện kinh tế - xã hội đặc biệt khó khăn theo quy định của Chính phủ được nhân hệ số 2 khi tính thời gian công tác để xét tặng danh hiệu NGND, NGƯT.</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Nhà giáo, cán bộ quản lý cơ sở giáo dục hiện đang công tác tại vùng có điều kiện kinh tế - xã hội đặc biệt khó khăn hoặc trường, lớp dành cho người khuyết tật, trung tâm hỗ trợ phát triển giáo dục hòa nhập được hưởng chế độ, chính sách ưu tiên khi đề nghị xét tặng danh hiệu NGND, NGƯT.</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Bổ sung tiêu chuẩn đối với nhà giáo, cán bộ quản lý tại cơ sở giáo dục có 15 năm trở lên liên tục công tác tại các trường, điểm trường ở vùng xa xôi hẻo lánh thuộc thôn, xã có điều kiện kinh tế - xã hội đặc biệt khó khăn có nhiều đóng góp cho sự nghiệp giáo dục của địa phương, </w:t>
      </w:r>
      <w:r w:rsidRPr="00B9725E">
        <w:rPr>
          <w:rStyle w:val="colorblack1"/>
          <w:sz w:val="28"/>
          <w:szCs w:val="28"/>
          <w:lang w:val="vi-VN"/>
        </w:rPr>
        <w:t>vận động được </w:t>
      </w:r>
      <w:r w:rsidRPr="00B9725E">
        <w:rPr>
          <w:rStyle w:val="colorblack1"/>
          <w:sz w:val="28"/>
          <w:szCs w:val="28"/>
        </w:rPr>
        <w:t>nhiều người </w:t>
      </w:r>
      <w:r w:rsidRPr="00B9725E">
        <w:rPr>
          <w:rStyle w:val="colorblack1"/>
          <w:sz w:val="28"/>
          <w:szCs w:val="28"/>
          <w:lang w:val="vi-VN"/>
        </w:rPr>
        <w:t>học đến trường</w:t>
      </w:r>
      <w:r w:rsidRPr="00B9725E">
        <w:rPr>
          <w:rStyle w:val="colorblack1"/>
          <w:sz w:val="28"/>
          <w:szCs w:val="28"/>
        </w:rPr>
        <w:t> và duy trì sĩ số học sinh được cấp huyện khen thưởng thì hội đồng cấp huyện căn cứ đề xuất của cơ sở giáo dục để bình xét và lựa chọn không quá 01 nhà giáo hoặc cán bộ quản lý tại cơ sở giáo dục tiêu biểu cho mỗi đợt xét.</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Thực tế cho thấy, qua 16 lần xét tặng, các nhà giáo và cán bộ quản lý giáo dục giảng dạy học sinh khuyết tật, công tác tại các vùng có điều kiện kinh tế - xã hội đặc biệt khó khăn được phong tặng còn rất ít, chưa phản ánh hết những cống hiến, hy sinh thầm lặng của các thầy giáo, cô giáo công tác tại môi trường đặc thù. Việc điều chỉnh về tiêu chuẩn, thời gian trực tiếp giảng dạy thể hiện sự quan tâm của Đảng, Nhà nước đối với giáo dục vùng khó khăn; đồng thời tạo động lực để các nhà giáo tiếp tục phấn đấu vươn lên đạt thành tích cao hơn trong giảng dạy, giáo dục, góp phần đưa giáo dục vùng khó khăn chuyển biến tích cực.</w:t>
      </w:r>
    </w:p>
    <w:p w:rsidR="004109FD"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 xml:space="preserve">Hiện nay, cả nước có 32 trung tâm và 34 cơ sở giáo dục mầm non, phổ thông có nhiệm vụ giảng dạy, chăm sóc, giáo dục học sinh khuyết tật với hơn 2000 cán bộ giáo viên. Trong 03 lần xét tặng gần đây theo Nghị định số 27/2015/NĐ-CP mới chỉ có 02 cán bộ quản lý được phong tặng danh hiệu NGƯT, chưa có giáo viên trực tiếp giảng dạy được phong tặng. Học sinh khuyết tật có nhiều hạn chế về khả năng nghe, </w:t>
      </w:r>
      <w:r w:rsidRPr="00B9725E">
        <w:rPr>
          <w:rStyle w:val="colorblack1"/>
          <w:sz w:val="28"/>
          <w:szCs w:val="28"/>
        </w:rPr>
        <w:lastRenderedPageBreak/>
        <w:t>nhìn và vận động; vì vậy công tác chăm sóc, giáo dục các em đòi hỏi phải tốn nhiều thời gian, công sức và sự kiên trì hơn so với đối tượng học sinh bình thường.</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pacing w:val="-2"/>
          <w:sz w:val="28"/>
          <w:szCs w:val="28"/>
        </w:rPr>
        <w:t>Để bảo đảm quyền lợi cho nhà giao, cán bộ quản lý cơ sở giáo dục </w:t>
      </w:r>
      <w:r w:rsidRPr="00B9725E">
        <w:rPr>
          <w:rStyle w:val="colorblack1"/>
          <w:spacing w:val="-2"/>
          <w:sz w:val="28"/>
          <w:szCs w:val="28"/>
          <w:lang w:val="vi-VN"/>
        </w:rPr>
        <w:t>đã nghỉ </w:t>
      </w:r>
      <w:r w:rsidRPr="00B9725E">
        <w:rPr>
          <w:rStyle w:val="colorblack1"/>
          <w:spacing w:val="-2"/>
          <w:sz w:val="28"/>
          <w:szCs w:val="28"/>
        </w:rPr>
        <w:t>hưu </w:t>
      </w:r>
      <w:r w:rsidRPr="00B9725E">
        <w:rPr>
          <w:rStyle w:val="colorblack1"/>
          <w:spacing w:val="-2"/>
          <w:sz w:val="28"/>
          <w:szCs w:val="28"/>
          <w:lang w:val="vi-VN"/>
        </w:rPr>
        <w:t>theo chế độ bảo hiểm xã hội giữa hai lần xét tặng liền kề với năm xét tặng</w:t>
      </w:r>
      <w:r w:rsidRPr="00B9725E">
        <w:rPr>
          <w:rStyle w:val="colorblack1"/>
          <w:spacing w:val="-2"/>
          <w:sz w:val="28"/>
          <w:szCs w:val="28"/>
        </w:rPr>
        <w:t>, Nghị định số 35/2024/NĐ-CP quy định về việc chuyển tiếp để trường hợp n</w:t>
      </w:r>
      <w:r w:rsidRPr="00B9725E">
        <w:rPr>
          <w:rStyle w:val="colorblack1"/>
          <w:spacing w:val="-2"/>
          <w:sz w:val="28"/>
          <w:szCs w:val="28"/>
          <w:lang w:val="vi-VN"/>
        </w:rPr>
        <w:t>hà giáo, cán bộ quản lý giáo dục</w:t>
      </w:r>
      <w:r w:rsidRPr="00B9725E">
        <w:rPr>
          <w:rStyle w:val="colorblack1"/>
          <w:sz w:val="28"/>
          <w:szCs w:val="28"/>
        </w:rPr>
        <w:t> </w:t>
      </w:r>
      <w:r w:rsidRPr="00B9725E">
        <w:rPr>
          <w:rStyle w:val="colorblack1"/>
          <w:spacing w:val="-2"/>
          <w:sz w:val="28"/>
          <w:szCs w:val="28"/>
          <w:lang w:val="vi-VN"/>
        </w:rPr>
        <w:t>đã nghỉ theo chế độ bảo hiểm xã hội </w:t>
      </w:r>
      <w:r w:rsidRPr="00B9725E">
        <w:rPr>
          <w:rStyle w:val="colorblack1"/>
          <w:spacing w:val="-2"/>
          <w:sz w:val="28"/>
          <w:szCs w:val="28"/>
        </w:rPr>
        <w:t>từ ngày 01/01/2023 còn thiếu tiêu chuẩn về chủ trì biên soạn báo cáo chuyên đề tại các hội nghị, hội thảo chuyên môn do bộ, ban, ngành, tỉnh, sở tổ chức hoặc chủ trì biên soạn tài liệu bồi dưỡng theo các chương trình bồi dưỡng cấp sở, ban, ngành tổ chức</w:t>
      </w:r>
      <w:r w:rsidRPr="00B9725E">
        <w:rPr>
          <w:rStyle w:val="colorblack1"/>
          <w:spacing w:val="-2"/>
          <w:sz w:val="28"/>
          <w:szCs w:val="28"/>
          <w:shd w:val="clear" w:color="auto" w:fill="FFFFFF"/>
        </w:rPr>
        <w:t>; quy định về </w:t>
      </w:r>
      <w:r w:rsidRPr="00B9725E">
        <w:rPr>
          <w:rStyle w:val="colorblack1"/>
          <w:spacing w:val="-2"/>
          <w:sz w:val="28"/>
          <w:szCs w:val="28"/>
        </w:rPr>
        <w:t>tác giả sáng kiến được công nhận có hiệu quả áp dụng trong giảng dạy hoặc quản lý, có phạm vi ảnh hưởng trong bộ, ban, ngành, tỉnh thì được áp dụng các tiêu chuẩn theo quy định tại Nghị định số</w:t>
      </w:r>
      <w:r w:rsidRPr="00B9725E">
        <w:rPr>
          <w:rStyle w:val="colorblack1"/>
          <w:spacing w:val="-2"/>
          <w:sz w:val="28"/>
          <w:szCs w:val="28"/>
          <w:bdr w:val="none" w:sz="0" w:space="0" w:color="auto" w:frame="1"/>
        </w:rPr>
        <w:t> </w:t>
      </w:r>
      <w:r w:rsidRPr="00B9725E">
        <w:rPr>
          <w:rStyle w:val="colorblack1"/>
          <w:spacing w:val="-2"/>
          <w:sz w:val="28"/>
          <w:szCs w:val="28"/>
        </w:rPr>
        <w:t>27/2015/NĐ-CP ngày 10 tháng 3 năm 2015 (khi đề nghị xét tặng danh hiệu vinh dự này lần thứ 17 vào năm 2026).</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Nghị định số 35/2024/NĐ-CP bổ sung một số tiêu chuẩn mới để đánh giá tài năng sư phạm của nhà giáo. Cụ thể như: Biên soạn báo cáo chuyên đề tại hội nghị, hội thảo chuyên môn do bộ, ban, ngành, tỉnh, sở tổ chức hoặc chủ trì biên soạn tài liệu bồi dưỡng theo các chương trình bồi dưỡng… để thể hiện năng lực sư phạm, kỹ năng mềm, khả năng tổ chức các hoạt động chuyên môn và tính lan tỏa, ảnh hưởng của nhà giáo tại địa phương nơi công tác.</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Ngoài danh hiệu giáo viên dạy giỏi, bổ sung danh hiệu giáo viên Tổng phụ trách Đội giỏi, giáo viên chủ nhiệm lớp giỏi… bởi vì </w:t>
      </w:r>
      <w:r w:rsidRPr="00B9725E">
        <w:rPr>
          <w:rStyle w:val="colorblack1"/>
          <w:spacing w:val="-2"/>
          <w:sz w:val="28"/>
          <w:szCs w:val="28"/>
        </w:rPr>
        <w:t>thực tế trong ngành Giáo dục còn có danh hiệu giáo viên chủ nhiệm giỏi, giáo viên Tổng phụ trách Đội giỏi, giảng viên nghiệp vụ sư phạm giỏi, giáo viên, giảng viên đoạt giải tại các kỳ thi, cuộc thi, hội thi cấp bộ, ban, ngành, tỉnh trở lên... Các quy định về n</w:t>
      </w:r>
      <w:r w:rsidRPr="00B9725E">
        <w:rPr>
          <w:rStyle w:val="colorblack1"/>
          <w:spacing w:val="-2"/>
          <w:sz w:val="28"/>
          <w:szCs w:val="28"/>
          <w:shd w:val="clear" w:color="auto" w:fill="FFFFFF"/>
        </w:rPr>
        <w:t>ội dung, tiêu chuẩn, hồ sơ, thẩm quyền tổ chức hội thi của các hội thi này là tương đương nhau.</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Đối với tiêu chuẩn đào tạo tiến sĩ, hiện nay không phải trường đại học nào, ngành học nào cũng được giao nhiệm vụ đào tạo tiến sĩ, nhất là đối với các trường đại học tư thục, trường đại học trực thuộc địa phương. Vì vậy, Bộ Giáo dục và Đào tạo đề xuất thay thế thành tích đào tạo tiến sĩ đối với các ngành, trường không được giao nhiệm vụ đào tạo tiến sĩ bằng thành tích hướng dẫn học viên cao học bảo vệ thành công luận văn thạc sĩ, bác sĩ chuyên khoa cấp II, bác sĩ nội trú;   hoặc hướng dẫn sinh viên, nhóm sinh viên đoạt giải sinh viên nghiên cứu khoa học cấp trường hoặc nhà giáo có đề tài nghiên cứu khoa học đoạt giải (hoặc khen thưởng) cấp trường trở lên… nhằm tạo điều kiện cho các nhà giáo thuộc trường đại học thuộc địa phương, tư thục có cơ hội tham gia xét tặng.</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 xml:space="preserve">Quy định rõ về sáng kiến để xét tặng danh hiệu NGND, NGƯT. Sáng kiến được áp dụng hiệu quả trong giảng dạy hoặc quản lý và có khả năng nhân rộng trong </w:t>
      </w:r>
      <w:r w:rsidRPr="00B9725E">
        <w:rPr>
          <w:rStyle w:val="colorblack1"/>
          <w:sz w:val="28"/>
          <w:szCs w:val="28"/>
        </w:rPr>
        <w:lastRenderedPageBreak/>
        <w:t>bộ, ban, ngành, tỉnh cho phù hợp với các quy định về điều lệ sáng kiến và Luật Thi đua, khen thưởng (Nghị định số 27/2015/NĐ-CP quy định là sáng kiến do cấp trên trực tiếp quản lý công nhận). Bổ sung sáng kiến do Thủ trưởng Bộ Tổng tham mưu, Thủ trưởng Tổng cục Chính trị công nhận có phạm vi ảnh hưởng trong ngành tương đương sáng kiến được áp dụng hiệu quả trong giảng dạy hoặc quản lý và có phạm vi ảnh hưởng trong bộ, ban, ngành tỉnh (theo đề nghị của Bộ Quốc phòng, là đơn vị có nhiều đặc thù trong công tác công nhận phạm vi ảnh hưởng của sáng kiến).</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Nghị định số 35/2024/NĐ-CP c</w:t>
      </w:r>
      <w:r w:rsidRPr="00B9725E">
        <w:rPr>
          <w:rStyle w:val="colorblack1"/>
          <w:spacing w:val="-2"/>
          <w:sz w:val="28"/>
          <w:szCs w:val="28"/>
        </w:rPr>
        <w:t>ắt giảm thủ tục hành chính, rút gọn quy trình, thời gian, cụ thể hóa các tiêu chí theo hướng định lượng tiêu chuẩn, tạo thuận lợi cho các đối tượng được xét tặng, cũng như các cấp hội đồng.</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Chỉ còn 3 cấp hội đồng (cấp cơ sở, cấp bộ/ban/ngành/tỉnh/đại học quốc gia, cấp Nhà nước). Không quy định việc thành lập Hội đồng xét tặng nhà giáo tại các cơ sở giáo dục, đơn vị; việc lấy phiếu tín nhiệm, hướng dẫn khai hồ sơ, xác nhận hồ sơ, đánh giá uy tín, tầm ảnh hưởng của nhà giáo sẽ do Hội đồng Thi đua - Khen thưởng đơn vị thực hiện nhằm giảm bớt 1, thậm chí có hồ sơ nhà giáo giảm được 2 cấp hội đồng trong quá trình xét tặng.</w:t>
      </w:r>
    </w:p>
    <w:p w:rsidR="000A7E99" w:rsidRPr="00B9725E" w:rsidRDefault="000A7E99" w:rsidP="00FB2E36">
      <w:pPr>
        <w:pStyle w:val="colorblack"/>
        <w:shd w:val="clear" w:color="auto" w:fill="FFFFFF"/>
        <w:spacing w:before="120" w:beforeAutospacing="0" w:after="0" w:afterAutospacing="0" w:line="340" w:lineRule="exact"/>
        <w:ind w:firstLine="720"/>
        <w:jc w:val="both"/>
        <w:rPr>
          <w:sz w:val="28"/>
          <w:szCs w:val="28"/>
        </w:rPr>
      </w:pPr>
      <w:r w:rsidRPr="00B9725E">
        <w:rPr>
          <w:rStyle w:val="colorblack1"/>
          <w:sz w:val="28"/>
          <w:szCs w:val="28"/>
        </w:rPr>
        <w:t>Điều chỉnh Hội đồng cấp tỉnh, Hội đồng đại học quốc gia đề nghị trình lên Hội đồng cấp Nhà nước, không qua Hội đồng chuyên ngành của Bộ Giáo dục và Đào tạo để thực hiện theo đúng quy định của Luật Thi đua, khen thưởng, bảo đảm sự công bằng về số lượng cấp hội đồng đối với nhà giáo thuộc bậc học mầm non, phổ thông so với các bậc học khác.</w:t>
      </w:r>
    </w:p>
    <w:p w:rsidR="00AE5986" w:rsidRPr="00B9725E" w:rsidRDefault="00AE5986" w:rsidP="00FB2E36">
      <w:pPr>
        <w:pStyle w:val="NormalWeb"/>
        <w:shd w:val="clear" w:color="auto" w:fill="FFFFFF"/>
        <w:spacing w:before="120" w:beforeAutospacing="0" w:after="0" w:afterAutospacing="0" w:line="340" w:lineRule="exact"/>
        <w:ind w:firstLine="720"/>
        <w:jc w:val="both"/>
        <w:rPr>
          <w:b/>
          <w:sz w:val="28"/>
          <w:szCs w:val="28"/>
        </w:rPr>
      </w:pPr>
      <w:r w:rsidRPr="00B9725E">
        <w:rPr>
          <w:b/>
          <w:sz w:val="28"/>
          <w:szCs w:val="28"/>
        </w:rPr>
        <w:t>Sửa đổi, bổ sung một số điều của Nghị định quy định chi tiết một số điều và biện pháp thi hành Luật Thủy sản.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Ngày 04/4/2024, Chính phủ ban hành Nghị định số  37/2024/NĐ-CP sửa đổi, bổ sung một số điều của Nghị định số 26/2019/NĐ-CP ngày 08 tháng 3 năm 2019 của Chính phủ quy định chi tiết một số điều và biện pháp thi hành Luật Thủy sản.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Theo Nghị định này, khu neo đậu tránh trú bão cho tàu cá là khu vực chuyên dụng dành cho tàu cá neo đậu tránh trú bào, bao gồm: Kết cấu hạ tầng khu tránh trú bão, cơ sở dịch vụ hậu cần khu tránh trú bão, vùng nước đậu tàu, luồng vào khu tránh trú bão và khu hành chính.</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Kết cấu hạ tầng khu tránh trú bão bao gồm: đê, kè chắn sóng, ngăn sa bồi; luồng lạch; neo đậu tàu (các trụ, phao neo tàu, xích neo, rùa neo); hệ thống phao tiêu, biển báo; hệ thống chiếu sáng; hệ thống thông tin liên lạc.</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 xml:space="preserve">Cơ sở dịch vụ hậu cần khu tránh trú bão bao gồm: cơ sở cung ứng dịch vụ thiết yếu tối thiểu (nước ngọt, lương thực thực phẩm, thông tin liên lạc, y tế, vật tư, sửa </w:t>
      </w:r>
      <w:r w:rsidRPr="00B9725E">
        <w:rPr>
          <w:sz w:val="28"/>
          <w:szCs w:val="28"/>
        </w:rPr>
        <w:lastRenderedPageBreak/>
        <w:t>chữa nhỏ, cứu nạn, giải quyết sự cố) phục vụ ngư dân và tàu cá đảm bảo giải quyết các yêu cầu cấp thiết và sự cố tai nạn.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Vùng nước đậu tàu là vùng nước trước cầu cảng, vùng nước bố trí neo đậu tàu, luồng vào khu neo đậu tàu và vùng nước dành cho cung ứng, dịch vụ hậu cần.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Luồng vào khu tránh trú bão là luồng nối từ vùng nước mà tàu hoạt động đến vùng nước đậu tàu.</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Khu hành chính bao gồm: các kết cấu hạ tầng, trang thiết bị phục vụ công tác quản lý, điều hành hoạt động của khu tránh trú bão (nhà lưu trú, điều hành, bảo vệ; hệ thống đường giao thông nội bộ; hệ thống điện, nước, xử lý nước thải, phòng cháy, chữa cháy; trang thiết bị).</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Trung tâm nghề cá lớn là khu vực gắn với ngư trường khai thác thủy sản có lợi thế về kinh tế, xã hội, tài nguyên, nguồn nguyên liệu, hạ tầng kỹ thuật, có ranh giới và quy chế hoạt động riêng, làm đầu mối sản xuất, thương mại, dịch vụ hậu cần nghề cá trong thể liên hoàn, liên kết để giảm chi phí, tăng sức cạnh tranh, bao gồm: các khu chức năng đặc thù, các cơ sở chuyên ngành.</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Khu chức năng đặc thù bao gồm: các khu vực chế biến thủy sản; sửa chữa, sản xuất ngư lưới cụ, đóng, sửa tàu thuyền cung cấp máy móc, trang thiết bị cho tàu cá thiết bị hàng hải, thông tin liên lạc; khu neo đậu tránh trú bão; cơ sở đăng kiểm tàu cá; cơ quan kiểm ngư vùng, cầu cảng neo đậu của tàu, thuyền kiểm ngư; trung tâm cứu hộ, cứu nạn.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Cơ sở chuyên ngành của trung tâm nghề cá lớn bao gồm cơ sở đào tạo, nghiên cứu, tài chính, trung tâm hội chợ triển lãm phục vụ hoạt động thủy sản.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Cũng theo Nghị định này, Thuyền trưởng hoặc chủ tàu phải bảo đảm thiết bị giám sát hành trình tàu cá hoạt động liên tục 24/24 giờ từ khi tàu cá rời cảng đến khi cập cảng. Trường hợp thiết bị giám sát hành trình tàu cá mất tín hiệu kết nối, thuyền trưởng hoặc chủ tàu phải sử dụng các thiết bị ghi lại vị trí tàu cá và báo cáo cơ quan quản lý tại cảng khi tàu cập cảng, sử dụng các thiết bị thông tin liên lạc khác báo cáo vị trí tàu cá về cơ quan quản lý nhà nước về thủy sản thuộc Bộ Nông nghiệp và Phát triển nông thôn và cơ quan quản lý nhà nước về thủy sản cấp tỉnh nơi đăng ký tàu cá (qua bộ phận trực, vận hành hệ thống giám sát tàu cá) 06 giờ/lần và phải đưa tàu về cảng để sửa chữa trong 10 ngày kể từ khi thiết bị giám sát hành trình tàu cá bị hỏng; Thuyền trưởng, chủ tàu cá phải chấp hành nghiêm cảnh báo của thiết bị giám sát hành trình tàu cá, không được đưa tàu vượt qua ranh giới vùng được phép khai thác thủy sản trên biển.</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 xml:space="preserve">Khi lắp đặt, tháo gỡ, thay thế thiết bị giám sát hành trình trên tàu cá, chủ tàu phải báo cáo cơ quan quản lý nhà nước về thủy sản địa phương theo Mẫu số 01.KT </w:t>
      </w:r>
      <w:r w:rsidRPr="00B9725E">
        <w:rPr>
          <w:sz w:val="28"/>
          <w:szCs w:val="28"/>
        </w:rPr>
        <w:lastRenderedPageBreak/>
        <w:t>Phụ lục IV ban hành kèm theo Nghị định này để kiểm tra, xác nhận theo quy định và yêu cầu đơn vị cung cấp thiết bị giám sát hành trình cập nhật vào cơ sở dữ liệu. Trường hợp thiết bị giám sát hành trình bị hỏng, trước khi tháo thiết bị phải thông báo cho cơ quan quản lý nhà nước về thủy sản cấp tỉnh để lập Biên bản kiểm tra tình trạng thiết bị trước khi tháo gỡ, thay thế.</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Nghị định này có hiệu lực thi hành từ ngày 19 tháng 5 năm 2024.</w:t>
      </w:r>
    </w:p>
    <w:p w:rsidR="00AE5986" w:rsidRPr="00B9725E" w:rsidRDefault="00AE5986" w:rsidP="00FB2E36">
      <w:pPr>
        <w:pStyle w:val="Heading1"/>
        <w:shd w:val="clear" w:color="auto" w:fill="FFFFFF"/>
        <w:spacing w:before="120" w:line="340" w:lineRule="exact"/>
        <w:ind w:firstLine="720"/>
        <w:jc w:val="both"/>
        <w:rPr>
          <w:rFonts w:ascii="Times New Roman" w:hAnsi="Times New Roman" w:cs="Times New Roman"/>
          <w:b/>
          <w:color w:val="auto"/>
          <w:sz w:val="28"/>
          <w:szCs w:val="28"/>
        </w:rPr>
      </w:pPr>
      <w:r w:rsidRPr="00B9725E">
        <w:rPr>
          <w:rFonts w:ascii="Times New Roman" w:hAnsi="Times New Roman" w:cs="Times New Roman"/>
          <w:b/>
          <w:color w:val="auto"/>
          <w:sz w:val="28"/>
          <w:szCs w:val="28"/>
        </w:rPr>
        <w:t>Kiểm soát, thanh toán các khoản chi thường xuyên qua Kho bạc Nhà nước</w:t>
      </w:r>
    </w:p>
    <w:p w:rsidR="00AE5986" w:rsidRPr="00B9725E" w:rsidRDefault="00AE5986" w:rsidP="00FB2E36">
      <w:pPr>
        <w:pStyle w:val="Heading1"/>
        <w:shd w:val="clear" w:color="auto" w:fill="FFFFFF"/>
        <w:spacing w:before="120" w:line="340" w:lineRule="exact"/>
        <w:ind w:firstLine="720"/>
        <w:jc w:val="both"/>
        <w:rPr>
          <w:rFonts w:ascii="Times New Roman" w:hAnsi="Times New Roman" w:cs="Times New Roman"/>
          <w:b/>
          <w:color w:val="auto"/>
          <w:sz w:val="28"/>
          <w:szCs w:val="28"/>
        </w:rPr>
      </w:pPr>
      <w:r w:rsidRPr="00B9725E">
        <w:rPr>
          <w:rFonts w:ascii="Times New Roman" w:hAnsi="Times New Roman" w:cs="Times New Roman"/>
          <w:bCs/>
          <w:color w:val="auto"/>
          <w:sz w:val="28"/>
          <w:szCs w:val="28"/>
        </w:rPr>
        <w:t>Thông tư số 17/2024/TT-BTC của Bộ Tài chính hướng dẫn kiểm soát, thanh toán các khoản chi thường xuyên qua Kho bạc Nhà nước. Thông tư quy định</w:t>
      </w:r>
      <w:r w:rsidRPr="00B9725E">
        <w:rPr>
          <w:rFonts w:ascii="Times New Roman" w:hAnsi="Times New Roman" w:cs="Times New Roman"/>
          <w:color w:val="auto"/>
          <w:sz w:val="28"/>
          <w:szCs w:val="28"/>
        </w:rPr>
        <w:t xml:space="preserve"> nguyên tắc kiểm soát, thanh toán qua Kho bạc Nhà nước là chi NSNN chỉ được thực hiện khi đã có trong dự toán ngân sách được giao, trừ trường hợp quy định tại Điều 51 của Luật NSNN; đã được thủ trưởng đơn vị sử dụng ngân sách, chủ đầu tư hoặc người được ủy quyền quyết định chi, số dư tài khoản của đơn vị còn đủ để chi.</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Kho bạc Nhà nước kiểm tra tính hợp pháp của chứng từ chi và các hồ sơ kèm theo chứng từ chi thuộc thủ tục hành chính gửi Kho bạc Nhà nước được quy định tại các Nghị định của Chính phủ. Trường hợp chứng từ chi và các hồ sơ kèm theo chứng từ chi đơn vị sử dụng ngân sách gửi Kho bạc Nhà nước cố tình giả mạo, thay thế nội dung, đơn vị sử dụng ngân sách chịu trách nhiệm theo quy định của pháp luật.</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Đối với các hồ sơ không thuộc thủ tục hành chính gửi Kho bạc Nhà nước được quy định tại các Nghị định của Chính phủ, đơn vị sử dụng ngân sách chịu trách nhiệm kiểm soát nội dung thanh toán, hồ sơ thanh toán theo đúng quy định của pháp luật.</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Kho bạc Nhà nước kiểm soát định mức (mức chi) theo quy định tại các văn bản quy phạm pháp luật. Trường hợp các cơ quan, đơn vị đã được cấp có thẩm quyền cho phép thực hiện theo cơ chế tự chủ thì kiểm soát đảm bảo theo đúng quy chế chi tiêu nội bộ và phù hợp với dự toán được giao tự chủ.</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Các khoản chi tạm ứng và thanh toán bằng tiền mặt phải được thực hiện đúng theo quy định tại Thông tư hướng dẫn quản lý thu chi bằng tiền mặt qua hệ thống Kho bạc Nhà nước của Bộ Tài chính.</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Kho bạc Nhà nước thực hiện kiểm soát, thanh toán các khoản chi thường xuyên từ NSNN qua Kho bạc Nhà nước theo các hình thức sau:</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Thanh toán trước, kiểm soát sau: Là hình thức thanh toán áp dụng đối với từng lần thanh toán của các hợp đồng thanh toán nhiều lần, trừ lần thanh toán cuối cùng. Sau khi nhận đủ hồ sơ hợp lệ, hợp pháp, Kho bạc Nhà nước làm thủ tục thanh toán cho đối tượng thụ hưởng trong thời hạn 01 ngày làm việc; đồng thời, gửi 01 chứng từ báo nợ cho đơn vị để xác nhận đã thực hiện thanh toán, gửi 01 chứng từ báo có cho đơn vị (nếu đơn vị thụ hưởng mở tài khoản tại Kho bạc Nhà nước).</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lastRenderedPageBreak/>
        <w:t>Trong thời hạn 01 ngày làm việc kể từ ngày thanh toán, Kho bạc Nhà nước thực hiện kiểm soát hồ sơ theo chế độ quy định.</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Kiểm soát trước, thanh toán sau: Là hình thức thanh toán áp dụng đối với tất cả các khoản chi, trong đó, Kho bạc Nhà nước thực hiện kiểm soát, thanh toán theo đúng thời gian quy định tại Nghị định số 11/2020/NĐ-CP sau khi nhận đầy đủ hồ sơ hợp pháp, hợp lệ theo quy định.</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Thông tư nêu rõ, đối với một số nội dung chi cụ thể Kho bạc Nhà nước kiểm soát như sau:</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Đối với các khoản chi lương và phụ cấp theo lương (các khoản phụ cấp theo lương theo hệ thống mục lục ngân sách hiện hành); tiền công lao động theo hợp đồng; tiền thu nhập tăng thêm, chi hỗ trợ, trợ cấp, phụ cấp khác, khoán, khen thưởng: Kho bạc nhà nước kiểm soát đảm bảo không vượt chỉ tiêu biên chế được cấp có thẩm quyền phê duyệt; không vượt số lượng lao động hợp đồng, theo đúng nguồn kinh phí thực hiện theo quy định tại Điều 7, Điều 8, Điều 9, Điều 12 Nghị định số 111/2022/NĐ-CP của Chính phủ về hợp đồng đối với một số loại công việc trong cơ quan hành chính và đơn vị sự nghiệp công lập;</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Kiểm tra, đảm bảo khớp đúng giữa chi tiết và tổng số; khớp đúng tổng số tiền trên Bảng thanh toán cho đối tượng thụ hưởng với Giấy rút dự toán/Ủy nhiệm chi đã được thủ trưởng đơn vị ký duyệt.</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Đối với khoản chi thu nhập tăng thêm: Đối với đơn vị sự nghiệp công lập do nhà nước đảm bảo chi thường xuyên (đơn vị nhóm 4): Kho bạc Nhà nước kiểm soát đảm bảo theo đúng Quy chế chi tiêu nội bộ của đơn vị và theo quy định tại khoản 2 Điều 22 Nghị định số 60/2021/NĐ-CP và khoản 3 Điều 10 Thông tư số 56/2022/TT-BTC của Bộ Tài chính hướng dẫn một số nội dung về cơ chế tự chủ tài chính của đơn vị sự nghiệp công lập; xử lý tài sản, tài chính khi tổ chức lại, giải thể đơn vị sự nghiệp công lập.</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Đối với cơ quan nhà nước thực hiện chế độ tự chủ: Kho bạc Nhà nước kiểm soát đảm bảo theo đúng Quy chế chi tiêu nội bộ của đơn vị và theo quy định tại Thông tư liên tịch số 71/2014/TTLT-BTC-BNV của Liên Bộ Tài chính và Bộ Nội vụ quy định chế độ tự chủ, tự chịu trách nhiệm về sử dụng kinh phí quản lý hành chính đối với cơ quan nhà nước.</w:t>
      </w:r>
    </w:p>
    <w:p w:rsidR="00AE5986" w:rsidRPr="00B9725E" w:rsidRDefault="00AE5986" w:rsidP="00FB2E36">
      <w:pPr>
        <w:pStyle w:val="NormalWeb"/>
        <w:shd w:val="clear" w:color="auto" w:fill="FFFFFF"/>
        <w:spacing w:before="120" w:beforeAutospacing="0" w:after="0" w:afterAutospacing="0" w:line="340" w:lineRule="exact"/>
        <w:ind w:firstLine="720"/>
        <w:jc w:val="both"/>
        <w:rPr>
          <w:sz w:val="28"/>
          <w:szCs w:val="28"/>
        </w:rPr>
      </w:pPr>
      <w:r w:rsidRPr="00B9725E">
        <w:rPr>
          <w:sz w:val="28"/>
          <w:szCs w:val="28"/>
        </w:rPr>
        <w:t>Thông tư này có hiệu lực từ ngày 01/5/2024.</w:t>
      </w:r>
    </w:p>
    <w:p w:rsidR="008A6DB0" w:rsidRPr="00B9725E" w:rsidRDefault="008A6DB0" w:rsidP="00FB2E36">
      <w:pPr>
        <w:pStyle w:val="normalpara"/>
        <w:spacing w:before="120" w:beforeAutospacing="0" w:after="0" w:afterAutospacing="0" w:line="340" w:lineRule="exact"/>
        <w:ind w:firstLine="720"/>
        <w:jc w:val="both"/>
        <w:rPr>
          <w:b/>
          <w:sz w:val="28"/>
          <w:szCs w:val="28"/>
        </w:rPr>
      </w:pPr>
      <w:r w:rsidRPr="00B9725E">
        <w:rPr>
          <w:b/>
          <w:sz w:val="28"/>
          <w:szCs w:val="28"/>
        </w:rPr>
        <w:t xml:space="preserve">                                                                               </w:t>
      </w:r>
    </w:p>
    <w:p w:rsidR="00AC3999" w:rsidRPr="00B9725E" w:rsidRDefault="00AC3999" w:rsidP="00FB2E36">
      <w:pPr>
        <w:spacing w:before="120" w:after="0" w:line="340" w:lineRule="exact"/>
        <w:jc w:val="both"/>
        <w:rPr>
          <w:rFonts w:cs="Times New Roman"/>
          <w:sz w:val="28"/>
          <w:szCs w:val="28"/>
        </w:rPr>
      </w:pPr>
      <w:bookmarkStart w:id="0" w:name="_GoBack"/>
      <w:bookmarkEnd w:id="0"/>
    </w:p>
    <w:sectPr w:rsidR="00AC3999" w:rsidRPr="00B9725E" w:rsidSect="0028682F">
      <w:headerReference w:type="default" r:id="rId13"/>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85" w:rsidRDefault="00EA1385" w:rsidP="0028682F">
      <w:pPr>
        <w:spacing w:after="0" w:line="240" w:lineRule="auto"/>
      </w:pPr>
      <w:r>
        <w:separator/>
      </w:r>
    </w:p>
  </w:endnote>
  <w:endnote w:type="continuationSeparator" w:id="0">
    <w:p w:rsidR="00EA1385" w:rsidRDefault="00EA1385" w:rsidP="0028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85" w:rsidRDefault="00EA1385" w:rsidP="0028682F">
      <w:pPr>
        <w:spacing w:after="0" w:line="240" w:lineRule="auto"/>
      </w:pPr>
      <w:r>
        <w:separator/>
      </w:r>
    </w:p>
  </w:footnote>
  <w:footnote w:type="continuationSeparator" w:id="0">
    <w:p w:rsidR="00EA1385" w:rsidRDefault="00EA1385" w:rsidP="0028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185927"/>
      <w:docPartObj>
        <w:docPartGallery w:val="Page Numbers (Top of Page)"/>
        <w:docPartUnique/>
      </w:docPartObj>
    </w:sdtPr>
    <w:sdtEndPr>
      <w:rPr>
        <w:noProof/>
      </w:rPr>
    </w:sdtEndPr>
    <w:sdtContent>
      <w:p w:rsidR="0028682F" w:rsidRDefault="0028682F">
        <w:pPr>
          <w:pStyle w:val="Header"/>
          <w:jc w:val="center"/>
        </w:pPr>
        <w:r>
          <w:fldChar w:fldCharType="begin"/>
        </w:r>
        <w:r>
          <w:instrText xml:space="preserve"> PAGE   \* MERGEFORMAT </w:instrText>
        </w:r>
        <w:r>
          <w:fldChar w:fldCharType="separate"/>
        </w:r>
        <w:r w:rsidR="00A97997">
          <w:rPr>
            <w:noProof/>
          </w:rPr>
          <w:t>13</w:t>
        </w:r>
        <w:r>
          <w:rPr>
            <w:noProof/>
          </w:rPr>
          <w:fldChar w:fldCharType="end"/>
        </w:r>
      </w:p>
    </w:sdtContent>
  </w:sdt>
  <w:p w:rsidR="0028682F" w:rsidRDefault="00286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96"/>
    <w:rsid w:val="000A7E99"/>
    <w:rsid w:val="000E25CF"/>
    <w:rsid w:val="000E6002"/>
    <w:rsid w:val="001A1AF7"/>
    <w:rsid w:val="001F7D70"/>
    <w:rsid w:val="002466F7"/>
    <w:rsid w:val="0028682F"/>
    <w:rsid w:val="002F4337"/>
    <w:rsid w:val="004109FD"/>
    <w:rsid w:val="008A6DB0"/>
    <w:rsid w:val="00A94EB9"/>
    <w:rsid w:val="00A97997"/>
    <w:rsid w:val="00AC3999"/>
    <w:rsid w:val="00AE5986"/>
    <w:rsid w:val="00B75A96"/>
    <w:rsid w:val="00B9725E"/>
    <w:rsid w:val="00C3177A"/>
    <w:rsid w:val="00D25875"/>
    <w:rsid w:val="00EA1385"/>
    <w:rsid w:val="00FB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9B56"/>
  <w15:chartTrackingRefBased/>
  <w15:docId w15:val="{DB4FDFF1-99F3-4F54-9EAE-53D0756E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7D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F7D70"/>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F7D7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
    <w:name w:val="normalpara"/>
    <w:basedOn w:val="Normal"/>
    <w:rsid w:val="00B75A96"/>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1F7D7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F7D70"/>
    <w:rPr>
      <w:b/>
      <w:bCs/>
    </w:rPr>
  </w:style>
  <w:style w:type="character" w:customStyle="1" w:styleId="Heading2Char">
    <w:name w:val="Heading 2 Char"/>
    <w:basedOn w:val="DefaultParagraphFont"/>
    <w:link w:val="Heading2"/>
    <w:uiPriority w:val="9"/>
    <w:rsid w:val="001F7D70"/>
    <w:rPr>
      <w:rFonts w:eastAsia="Times New Roman" w:cs="Times New Roman"/>
      <w:b/>
      <w:bCs/>
      <w:sz w:val="36"/>
      <w:szCs w:val="36"/>
    </w:rPr>
  </w:style>
  <w:style w:type="character" w:customStyle="1" w:styleId="Heading3Char">
    <w:name w:val="Heading 3 Char"/>
    <w:basedOn w:val="DefaultParagraphFont"/>
    <w:link w:val="Heading3"/>
    <w:uiPriority w:val="9"/>
    <w:rsid w:val="001F7D70"/>
    <w:rPr>
      <w:rFonts w:eastAsia="Times New Roman" w:cs="Times New Roman"/>
      <w:b/>
      <w:bCs/>
      <w:sz w:val="27"/>
      <w:szCs w:val="27"/>
    </w:rPr>
  </w:style>
  <w:style w:type="character" w:customStyle="1" w:styleId="Heading1Char">
    <w:name w:val="Heading 1 Char"/>
    <w:basedOn w:val="DefaultParagraphFont"/>
    <w:link w:val="Heading1"/>
    <w:uiPriority w:val="9"/>
    <w:rsid w:val="001F7D7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2F4337"/>
    <w:rPr>
      <w:i/>
      <w:iCs/>
    </w:rPr>
  </w:style>
  <w:style w:type="character" w:styleId="Hyperlink">
    <w:name w:val="Hyperlink"/>
    <w:basedOn w:val="DefaultParagraphFont"/>
    <w:uiPriority w:val="99"/>
    <w:semiHidden/>
    <w:unhideWhenUsed/>
    <w:rsid w:val="00D25875"/>
    <w:rPr>
      <w:color w:val="0000FF"/>
      <w:u w:val="single"/>
    </w:rPr>
  </w:style>
  <w:style w:type="paragraph" w:customStyle="1" w:styleId="colorblack">
    <w:name w:val="colorblack"/>
    <w:basedOn w:val="Normal"/>
    <w:rsid w:val="000A7E99"/>
    <w:pPr>
      <w:spacing w:before="100" w:beforeAutospacing="1" w:after="100" w:afterAutospacing="1" w:line="240" w:lineRule="auto"/>
    </w:pPr>
    <w:rPr>
      <w:rFonts w:eastAsia="Times New Roman" w:cs="Times New Roman"/>
      <w:szCs w:val="24"/>
    </w:rPr>
  </w:style>
  <w:style w:type="character" w:customStyle="1" w:styleId="colorblack1">
    <w:name w:val="colorblack1"/>
    <w:basedOn w:val="DefaultParagraphFont"/>
    <w:rsid w:val="000A7E99"/>
  </w:style>
  <w:style w:type="paragraph" w:styleId="Header">
    <w:name w:val="header"/>
    <w:basedOn w:val="Normal"/>
    <w:link w:val="HeaderChar"/>
    <w:uiPriority w:val="99"/>
    <w:unhideWhenUsed/>
    <w:rsid w:val="0028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2F"/>
  </w:style>
  <w:style w:type="paragraph" w:styleId="Footer">
    <w:name w:val="footer"/>
    <w:basedOn w:val="Normal"/>
    <w:link w:val="FooterChar"/>
    <w:uiPriority w:val="99"/>
    <w:unhideWhenUsed/>
    <w:rsid w:val="0028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8162">
      <w:bodyDiv w:val="1"/>
      <w:marLeft w:val="0"/>
      <w:marRight w:val="0"/>
      <w:marTop w:val="0"/>
      <w:marBottom w:val="0"/>
      <w:divBdr>
        <w:top w:val="none" w:sz="0" w:space="0" w:color="auto"/>
        <w:left w:val="none" w:sz="0" w:space="0" w:color="auto"/>
        <w:bottom w:val="none" w:sz="0" w:space="0" w:color="auto"/>
        <w:right w:val="none" w:sz="0" w:space="0" w:color="auto"/>
      </w:divBdr>
    </w:div>
    <w:div w:id="522520130">
      <w:bodyDiv w:val="1"/>
      <w:marLeft w:val="0"/>
      <w:marRight w:val="0"/>
      <w:marTop w:val="0"/>
      <w:marBottom w:val="0"/>
      <w:divBdr>
        <w:top w:val="none" w:sz="0" w:space="0" w:color="auto"/>
        <w:left w:val="none" w:sz="0" w:space="0" w:color="auto"/>
        <w:bottom w:val="none" w:sz="0" w:space="0" w:color="auto"/>
        <w:right w:val="none" w:sz="0" w:space="0" w:color="auto"/>
      </w:divBdr>
    </w:div>
    <w:div w:id="617642472">
      <w:bodyDiv w:val="1"/>
      <w:marLeft w:val="0"/>
      <w:marRight w:val="0"/>
      <w:marTop w:val="0"/>
      <w:marBottom w:val="0"/>
      <w:divBdr>
        <w:top w:val="none" w:sz="0" w:space="0" w:color="auto"/>
        <w:left w:val="none" w:sz="0" w:space="0" w:color="auto"/>
        <w:bottom w:val="none" w:sz="0" w:space="0" w:color="auto"/>
        <w:right w:val="none" w:sz="0" w:space="0" w:color="auto"/>
      </w:divBdr>
      <w:divsChild>
        <w:div w:id="1154953223">
          <w:marLeft w:val="0"/>
          <w:marRight w:val="0"/>
          <w:marTop w:val="0"/>
          <w:marBottom w:val="0"/>
          <w:divBdr>
            <w:top w:val="none" w:sz="0" w:space="0" w:color="auto"/>
            <w:left w:val="none" w:sz="0" w:space="0" w:color="auto"/>
            <w:bottom w:val="none" w:sz="0" w:space="0" w:color="auto"/>
            <w:right w:val="none" w:sz="0" w:space="0" w:color="auto"/>
          </w:divBdr>
          <w:divsChild>
            <w:div w:id="1976988095">
              <w:marLeft w:val="0"/>
              <w:marRight w:val="0"/>
              <w:marTop w:val="0"/>
              <w:marBottom w:val="0"/>
              <w:divBdr>
                <w:top w:val="none" w:sz="0" w:space="0" w:color="auto"/>
                <w:left w:val="none" w:sz="0" w:space="0" w:color="auto"/>
                <w:bottom w:val="none" w:sz="0" w:space="0" w:color="auto"/>
                <w:right w:val="none" w:sz="0" w:space="0" w:color="auto"/>
              </w:divBdr>
            </w:div>
          </w:divsChild>
        </w:div>
        <w:div w:id="274366143">
          <w:marLeft w:val="0"/>
          <w:marRight w:val="0"/>
          <w:marTop w:val="0"/>
          <w:marBottom w:val="225"/>
          <w:divBdr>
            <w:top w:val="none" w:sz="0" w:space="0" w:color="auto"/>
            <w:left w:val="none" w:sz="0" w:space="0" w:color="auto"/>
            <w:bottom w:val="none" w:sz="0" w:space="0" w:color="auto"/>
            <w:right w:val="none" w:sz="0" w:space="0" w:color="auto"/>
          </w:divBdr>
        </w:div>
      </w:divsChild>
    </w:div>
    <w:div w:id="762150238">
      <w:bodyDiv w:val="1"/>
      <w:marLeft w:val="0"/>
      <w:marRight w:val="0"/>
      <w:marTop w:val="0"/>
      <w:marBottom w:val="0"/>
      <w:divBdr>
        <w:top w:val="none" w:sz="0" w:space="0" w:color="auto"/>
        <w:left w:val="none" w:sz="0" w:space="0" w:color="auto"/>
        <w:bottom w:val="none" w:sz="0" w:space="0" w:color="auto"/>
        <w:right w:val="none" w:sz="0" w:space="0" w:color="auto"/>
      </w:divBdr>
    </w:div>
    <w:div w:id="963537905">
      <w:bodyDiv w:val="1"/>
      <w:marLeft w:val="0"/>
      <w:marRight w:val="0"/>
      <w:marTop w:val="0"/>
      <w:marBottom w:val="0"/>
      <w:divBdr>
        <w:top w:val="none" w:sz="0" w:space="0" w:color="auto"/>
        <w:left w:val="none" w:sz="0" w:space="0" w:color="auto"/>
        <w:bottom w:val="none" w:sz="0" w:space="0" w:color="auto"/>
        <w:right w:val="none" w:sz="0" w:space="0" w:color="auto"/>
      </w:divBdr>
    </w:div>
    <w:div w:id="1013804529">
      <w:bodyDiv w:val="1"/>
      <w:marLeft w:val="0"/>
      <w:marRight w:val="0"/>
      <w:marTop w:val="0"/>
      <w:marBottom w:val="0"/>
      <w:divBdr>
        <w:top w:val="none" w:sz="0" w:space="0" w:color="auto"/>
        <w:left w:val="none" w:sz="0" w:space="0" w:color="auto"/>
        <w:bottom w:val="none" w:sz="0" w:space="0" w:color="auto"/>
        <w:right w:val="none" w:sz="0" w:space="0" w:color="auto"/>
      </w:divBdr>
      <w:divsChild>
        <w:div w:id="306128380">
          <w:marLeft w:val="0"/>
          <w:marRight w:val="0"/>
          <w:marTop w:val="0"/>
          <w:marBottom w:val="0"/>
          <w:divBdr>
            <w:top w:val="none" w:sz="0" w:space="0" w:color="auto"/>
            <w:left w:val="none" w:sz="0" w:space="0" w:color="auto"/>
            <w:bottom w:val="none" w:sz="0" w:space="0" w:color="auto"/>
            <w:right w:val="none" w:sz="0" w:space="0" w:color="auto"/>
          </w:divBdr>
          <w:divsChild>
            <w:div w:id="586688982">
              <w:marLeft w:val="0"/>
              <w:marRight w:val="0"/>
              <w:marTop w:val="0"/>
              <w:marBottom w:val="0"/>
              <w:divBdr>
                <w:top w:val="none" w:sz="0" w:space="0" w:color="auto"/>
                <w:left w:val="single" w:sz="12" w:space="8" w:color="CCCCCC"/>
                <w:bottom w:val="none" w:sz="0" w:space="0" w:color="auto"/>
                <w:right w:val="none" w:sz="0" w:space="0" w:color="auto"/>
              </w:divBdr>
            </w:div>
          </w:divsChild>
        </w:div>
        <w:div w:id="1388455723">
          <w:marLeft w:val="0"/>
          <w:marRight w:val="0"/>
          <w:marTop w:val="0"/>
          <w:marBottom w:val="0"/>
          <w:divBdr>
            <w:top w:val="none" w:sz="0" w:space="0" w:color="auto"/>
            <w:left w:val="none" w:sz="0" w:space="0" w:color="auto"/>
            <w:bottom w:val="none" w:sz="0" w:space="0" w:color="auto"/>
            <w:right w:val="none" w:sz="0" w:space="0" w:color="auto"/>
          </w:divBdr>
          <w:divsChild>
            <w:div w:id="11265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629">
      <w:bodyDiv w:val="1"/>
      <w:marLeft w:val="0"/>
      <w:marRight w:val="0"/>
      <w:marTop w:val="0"/>
      <w:marBottom w:val="0"/>
      <w:divBdr>
        <w:top w:val="none" w:sz="0" w:space="0" w:color="auto"/>
        <w:left w:val="none" w:sz="0" w:space="0" w:color="auto"/>
        <w:bottom w:val="none" w:sz="0" w:space="0" w:color="auto"/>
        <w:right w:val="none" w:sz="0" w:space="0" w:color="auto"/>
      </w:divBdr>
    </w:div>
    <w:div w:id="1256667585">
      <w:bodyDiv w:val="1"/>
      <w:marLeft w:val="0"/>
      <w:marRight w:val="0"/>
      <w:marTop w:val="0"/>
      <w:marBottom w:val="0"/>
      <w:divBdr>
        <w:top w:val="none" w:sz="0" w:space="0" w:color="auto"/>
        <w:left w:val="none" w:sz="0" w:space="0" w:color="auto"/>
        <w:bottom w:val="none" w:sz="0" w:space="0" w:color="auto"/>
        <w:right w:val="none" w:sz="0" w:space="0" w:color="auto"/>
      </w:divBdr>
    </w:div>
    <w:div w:id="1279602165">
      <w:bodyDiv w:val="1"/>
      <w:marLeft w:val="0"/>
      <w:marRight w:val="0"/>
      <w:marTop w:val="0"/>
      <w:marBottom w:val="0"/>
      <w:divBdr>
        <w:top w:val="none" w:sz="0" w:space="0" w:color="auto"/>
        <w:left w:val="none" w:sz="0" w:space="0" w:color="auto"/>
        <w:bottom w:val="none" w:sz="0" w:space="0" w:color="auto"/>
        <w:right w:val="none" w:sz="0" w:space="0" w:color="auto"/>
      </w:divBdr>
    </w:div>
    <w:div w:id="1331181988">
      <w:bodyDiv w:val="1"/>
      <w:marLeft w:val="0"/>
      <w:marRight w:val="0"/>
      <w:marTop w:val="0"/>
      <w:marBottom w:val="0"/>
      <w:divBdr>
        <w:top w:val="none" w:sz="0" w:space="0" w:color="auto"/>
        <w:left w:val="none" w:sz="0" w:space="0" w:color="auto"/>
        <w:bottom w:val="none" w:sz="0" w:space="0" w:color="auto"/>
        <w:right w:val="none" w:sz="0" w:space="0" w:color="auto"/>
      </w:divBdr>
    </w:div>
    <w:div w:id="1456408768">
      <w:bodyDiv w:val="1"/>
      <w:marLeft w:val="0"/>
      <w:marRight w:val="0"/>
      <w:marTop w:val="0"/>
      <w:marBottom w:val="0"/>
      <w:divBdr>
        <w:top w:val="none" w:sz="0" w:space="0" w:color="auto"/>
        <w:left w:val="none" w:sz="0" w:space="0" w:color="auto"/>
        <w:bottom w:val="none" w:sz="0" w:space="0" w:color="auto"/>
        <w:right w:val="none" w:sz="0" w:space="0" w:color="auto"/>
      </w:divBdr>
    </w:div>
    <w:div w:id="1713766831">
      <w:bodyDiv w:val="1"/>
      <w:marLeft w:val="0"/>
      <w:marRight w:val="0"/>
      <w:marTop w:val="0"/>
      <w:marBottom w:val="0"/>
      <w:divBdr>
        <w:top w:val="none" w:sz="0" w:space="0" w:color="auto"/>
        <w:left w:val="none" w:sz="0" w:space="0" w:color="auto"/>
        <w:bottom w:val="none" w:sz="0" w:space="0" w:color="auto"/>
        <w:right w:val="none" w:sz="0" w:space="0" w:color="auto"/>
      </w:divBdr>
    </w:div>
    <w:div w:id="1784616274">
      <w:bodyDiv w:val="1"/>
      <w:marLeft w:val="0"/>
      <w:marRight w:val="0"/>
      <w:marTop w:val="0"/>
      <w:marBottom w:val="0"/>
      <w:divBdr>
        <w:top w:val="none" w:sz="0" w:space="0" w:color="auto"/>
        <w:left w:val="none" w:sz="0" w:space="0" w:color="auto"/>
        <w:bottom w:val="none" w:sz="0" w:space="0" w:color="auto"/>
        <w:right w:val="none" w:sz="0" w:space="0" w:color="auto"/>
      </w:divBdr>
    </w:div>
    <w:div w:id="18459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68-2017-ND-CP-quan-ly-phat-trien-cum-cong-nghiep-350203.aspx"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vienphapluat.vn/van-ban/Doanh-nghiep/Quyet-dinh-105-2009-QD-TTg-quy-che-quan-ly-cum-cong-nghiep-93567.aspx" TargetMode="External"/><Relationship Id="rId12" Type="http://schemas.openxmlformats.org/officeDocument/2006/relationships/hyperlink" Target="https://thuvienphapluat.vn/van-ban/Doanh-nghiep/Quyet-dinh-105-2009-QD-TTg-quy-che-quan-ly-cum-cong-nghiep-93567.aspx"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thuvienphapluat.vn/van-ban/Dau-tu/Nghi-dinh-68-2017-ND-CP-quan-ly-phat-trien-cum-cong-nghiep-350203.aspx" TargetMode="External"/><Relationship Id="rId11" Type="http://schemas.openxmlformats.org/officeDocument/2006/relationships/hyperlink" Target="https://thuvienphapluat.vn/van-ban/Dau-tu/Nghi-dinh-68-2017-ND-CP-quan-ly-phat-trien-cum-cong-nghiep-350203.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thuvienphapluat.vn/van-ban/Dau-tu/Nghi-dinh-68-2017-ND-CP-quan-ly-phat-trien-cum-cong-nghiep-350203.aspx" TargetMode="External"/><Relationship Id="rId4" Type="http://schemas.openxmlformats.org/officeDocument/2006/relationships/footnotes" Target="footnotes.xml"/><Relationship Id="rId9" Type="http://schemas.openxmlformats.org/officeDocument/2006/relationships/hyperlink" Target="https://thuvienphapluat.vn/van-ban/Dau-tu/Nghi-dinh-66-2020-ND-CP-sua-doi-Nghi-dinh-68-2017-ND-CP-quan-ly-phat-trien-cum-cong-nghiep-44476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A6059-939C-4425-AC58-A5281E4294AD}"/>
</file>

<file path=customXml/itemProps2.xml><?xml version="1.0" encoding="utf-8"?>
<ds:datastoreItem xmlns:ds="http://schemas.openxmlformats.org/officeDocument/2006/customXml" ds:itemID="{389DD8F5-A7A2-4C62-9E4B-A182DABBD57E}"/>
</file>

<file path=customXml/itemProps3.xml><?xml version="1.0" encoding="utf-8"?>
<ds:datastoreItem xmlns:ds="http://schemas.openxmlformats.org/officeDocument/2006/customXml" ds:itemID="{ED16CBFC-FECD-4F40-AD1C-7EC87BEE50F0}"/>
</file>

<file path=docProps/app.xml><?xml version="1.0" encoding="utf-8"?>
<Properties xmlns="http://schemas.openxmlformats.org/officeDocument/2006/extended-properties" xmlns:vt="http://schemas.openxmlformats.org/officeDocument/2006/docPropsVTypes">
  <Template>Normal</Template>
  <TotalTime>106</TotalTime>
  <Pages>14</Pages>
  <Words>5687</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CHICHI</cp:lastModifiedBy>
  <cp:revision>10</cp:revision>
  <dcterms:created xsi:type="dcterms:W3CDTF">2024-04-25T03:53:00Z</dcterms:created>
  <dcterms:modified xsi:type="dcterms:W3CDTF">2024-05-31T01:13:00Z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